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ORGANOGENESIS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684" w:type="dxa"/>
        <w:tblCellMar>
          <w:top w:w="0" w:type="dxa"/>
          <w:left w:w="0" w:type="dxa"/>
          <w:bottom w:w="0" w:type="dxa"/>
          <w:right w:w="0" w:type="dxa"/>
        </w:tblCellMar>
      </w:tblPr>
      <w:tr>
        <w:trPr>
          <w:trHeight w:val="214"/>
        </w:trPr>
        <w:tc>
          <w:tcPr>
            <w:tcW w:w="258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60" w:type="dxa"/>
            <w:vAlign w:val="bottom"/>
          </w:tcPr>
          <w:p>
            <w:pPr>
              <w:ind w:left="1960"/>
              <w:spacing w:after="0"/>
              <w:rPr>
                <w:sz w:val="20"/>
                <w:szCs w:val="20"/>
                <w:color w:val="auto"/>
              </w:rPr>
            </w:pPr>
            <w:r>
              <w:rPr>
                <w:rFonts w:ascii="Times New Roman" w:cs="Times New Roman" w:eastAsia="Times New Roman" w:hAnsi="Times New Roman"/>
                <w:sz w:val="18"/>
                <w:szCs w:val="18"/>
                <w:b w:val="1"/>
                <w:bCs w:val="1"/>
                <w:color w:val="auto"/>
              </w:rPr>
              <w:t>001-37906</w:t>
            </w:r>
          </w:p>
        </w:tc>
        <w:tc>
          <w:tcPr>
            <w:tcW w:w="170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98-1329150</w:t>
            </w:r>
          </w:p>
        </w:tc>
      </w:tr>
      <w:tr>
        <w:trPr>
          <w:trHeight w:val="148"/>
        </w:trPr>
        <w:tc>
          <w:tcPr>
            <w:tcW w:w="2580" w:type="dxa"/>
            <w:vAlign w:val="bottom"/>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860" w:type="dxa"/>
            <w:vAlign w:val="bottom"/>
          </w:tcPr>
          <w:p>
            <w:pPr>
              <w:ind w:left="19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700" w:type="dxa"/>
            <w:vAlign w:val="bottom"/>
          </w:tcPr>
          <w:p>
            <w:pPr>
              <w:jc w:val="center"/>
              <w:ind w:left="4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58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860" w:type="dxa"/>
            <w:vAlign w:val="bottom"/>
          </w:tcPr>
          <w:p>
            <w:pPr>
              <w:ind w:left="19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00" w:type="dxa"/>
            <w:vAlign w:val="bottom"/>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66"/>
        </w:trPr>
        <w:tc>
          <w:tcPr>
            <w:tcW w:w="258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9"/>
              </w:rPr>
              <w:t>85 Dan Road</w:t>
            </w:r>
          </w:p>
        </w:tc>
        <w:tc>
          <w:tcPr>
            <w:tcW w:w="48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14"/>
        </w:trPr>
        <w:tc>
          <w:tcPr>
            <w:tcW w:w="258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9"/>
              </w:rPr>
              <w:t>Canton, MA</w:t>
            </w:r>
          </w:p>
        </w:tc>
        <w:tc>
          <w:tcPr>
            <w:tcW w:w="4860" w:type="dxa"/>
            <w:vAlign w:val="bottom"/>
          </w:tcPr>
          <w:p>
            <w:pPr>
              <w:spacing w:after="0"/>
              <w:rPr>
                <w:sz w:val="18"/>
                <w:szCs w:val="18"/>
                <w:color w:val="auto"/>
              </w:rPr>
            </w:pPr>
          </w:p>
        </w:tc>
        <w:tc>
          <w:tcPr>
            <w:tcW w:w="17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02021</w:t>
            </w:r>
          </w:p>
        </w:tc>
      </w:tr>
      <w:tr>
        <w:trPr>
          <w:trHeight w:val="190"/>
        </w:trPr>
        <w:tc>
          <w:tcPr>
            <w:tcW w:w="258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860" w:type="dxa"/>
            <w:vAlign w:val="bottom"/>
          </w:tcPr>
          <w:p>
            <w:pPr>
              <w:spacing w:after="0"/>
              <w:rPr>
                <w:sz w:val="16"/>
                <w:szCs w:val="16"/>
                <w:color w:val="auto"/>
              </w:rPr>
            </w:pPr>
          </w:p>
        </w:tc>
        <w:tc>
          <w:tcPr>
            <w:tcW w:w="1700" w:type="dxa"/>
            <w:vAlign w:val="bottom"/>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36"/>
        </w:trPr>
        <w:tc>
          <w:tcPr>
            <w:tcW w:w="2580" w:type="dxa"/>
            <w:vAlign w:val="bottom"/>
          </w:tcPr>
          <w:p>
            <w:pPr>
              <w:spacing w:after="0"/>
              <w:rPr>
                <w:sz w:val="24"/>
                <w:szCs w:val="24"/>
                <w:color w:val="auto"/>
              </w:rPr>
            </w:pPr>
          </w:p>
        </w:tc>
        <w:tc>
          <w:tcPr>
            <w:tcW w:w="4860" w:type="dxa"/>
            <w:vAlign w:val="bottom"/>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(781) 575-0775</w:t>
            </w:r>
          </w:p>
        </w:tc>
        <w:tc>
          <w:tcPr>
            <w:tcW w:w="1700" w:type="dxa"/>
            <w:vAlign w:val="bottom"/>
          </w:tcPr>
          <w:p>
            <w:pPr>
              <w:spacing w:after="0"/>
              <w:rPr>
                <w:sz w:val="24"/>
                <w:szCs w:val="24"/>
                <w:color w:val="auto"/>
              </w:rPr>
            </w:pPr>
          </w:p>
        </w:tc>
      </w:tr>
      <w:tr>
        <w:trPr>
          <w:trHeight w:val="190"/>
        </w:trPr>
        <w:tc>
          <w:tcPr>
            <w:tcW w:w="2580" w:type="dxa"/>
            <w:vAlign w:val="bottom"/>
          </w:tcPr>
          <w:p>
            <w:pPr>
              <w:spacing w:after="0"/>
              <w:rPr>
                <w:sz w:val="16"/>
                <w:szCs w:val="16"/>
                <w:color w:val="auto"/>
              </w:rPr>
            </w:pPr>
          </w:p>
        </w:tc>
        <w:tc>
          <w:tcPr>
            <w:tcW w:w="4860" w:type="dxa"/>
            <w:vAlign w:val="bottom"/>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00" w:type="dxa"/>
            <w:vAlign w:val="bottom"/>
          </w:tcPr>
          <w:p>
            <w:pPr>
              <w:spacing w:after="0"/>
              <w:rPr>
                <w:sz w:val="16"/>
                <w:szCs w:val="16"/>
                <w:color w:val="auto"/>
              </w:rPr>
            </w:pPr>
          </w:p>
        </w:tc>
      </w:tr>
      <w:tr>
        <w:trPr>
          <w:trHeight w:val="336"/>
        </w:trPr>
        <w:tc>
          <w:tcPr>
            <w:tcW w:w="2580" w:type="dxa"/>
            <w:vAlign w:val="bottom"/>
          </w:tcPr>
          <w:p>
            <w:pPr>
              <w:spacing w:after="0"/>
              <w:rPr>
                <w:sz w:val="24"/>
                <w:szCs w:val="24"/>
                <w:color w:val="auto"/>
              </w:rPr>
            </w:pPr>
          </w:p>
        </w:tc>
        <w:tc>
          <w:tcPr>
            <w:tcW w:w="4860" w:type="dxa"/>
            <w:vAlign w:val="bottom"/>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700" w:type="dxa"/>
            <w:vAlign w:val="bottom"/>
          </w:tcPr>
          <w:p>
            <w:pPr>
              <w:spacing w:after="0"/>
              <w:rPr>
                <w:sz w:val="24"/>
                <w:szCs w:val="24"/>
                <w:color w:val="auto"/>
              </w:rPr>
            </w:pPr>
          </w:p>
        </w:tc>
      </w:tr>
      <w:tr>
        <w:trPr>
          <w:trHeight w:val="190"/>
        </w:trPr>
        <w:tc>
          <w:tcPr>
            <w:tcW w:w="2580" w:type="dxa"/>
            <w:vAlign w:val="bottom"/>
          </w:tcPr>
          <w:p>
            <w:pPr>
              <w:spacing w:after="0"/>
              <w:rPr>
                <w:sz w:val="16"/>
                <w:szCs w:val="16"/>
                <w:color w:val="auto"/>
              </w:rPr>
            </w:pPr>
          </w:p>
        </w:tc>
        <w:tc>
          <w:tcPr>
            <w:tcW w:w="4860" w:type="dxa"/>
            <w:vAlign w:val="bottom"/>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(Registrant’s name or former address, if changed since last report)</w:t>
            </w:r>
          </w:p>
        </w:tc>
        <w:tc>
          <w:tcPr>
            <w:tcW w:w="17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186055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5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ORGO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44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ind w:right="100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60" w:space="440"/>
            <w:col w:w="9800"/>
          </w:cols>
          <w:pgMar w:left="440" w:top="293" w:right="459" w:bottom="1440" w:gutter="0" w:footer="0" w:header="0"/>
        </w:sect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June 15, 2026, the holders of our Series A Convertible Preferred Stock voted by written consent to re-elect Garrett Lustig to our board of directors, to serve until the next Annual Meeting of Stockholders and until his successor is elected and qualified.</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5.02 is incorporated herein by reference to the Company’s Definitive Proxy Statement filed with the Securities and Exchange Commission on April 30, 2026.</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held our 2026 Annual Meeting of Stockholders on June 15, 2026, at which three proposals were submitted to, and approved by, our stockholders. The holders of 129,564,421 shares of our Class A common stock, including 38,470,359 shares of Class A common stock issuable upon conversion of our outstanding Series A Convertible Preferred Stock that are entitled to vote with our Class A common stock on an as-converted basis, were present or represented by proxy at the meeting. The proposals are described in detail in our definitive proxy statement for the 2026 Annual Meeting filed with the Securities and Exchange Commission on April 30, 2026. The final results for the votes for each proposal are set forth below.</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Annual Meeting, each of Robert Ades, Michael J. Driscoll, Prathyusha Duraibabu, Jon Giacomin, Gary S. Gillheeney, Sr., Michele Korfin, Arthur S. Leibowitz, Glenn H. Nussdorf and Gilberto Quintero was elected our Director, to serve until the next Annual Meeting of Stockholders and until their successors are elected and qualified. The votes cast in the election of the directors were as follows:</w:t>
      </w:r>
    </w:p>
    <w:p>
      <w:pPr>
        <w:spacing w:after="0" w:line="196" w:lineRule="exact"/>
        <w:rPr>
          <w:sz w:val="20"/>
          <w:szCs w:val="20"/>
          <w:color w:val="auto"/>
        </w:rPr>
      </w:pPr>
    </w:p>
    <w:tbl>
      <w:tblPr>
        <w:tblLayout w:type="fixed"/>
        <w:tblInd w:w="880" w:type="dxa"/>
        <w:tblCellMar>
          <w:top w:w="0" w:type="dxa"/>
          <w:left w:w="0" w:type="dxa"/>
          <w:bottom w:w="0" w:type="dxa"/>
          <w:right w:w="0" w:type="dxa"/>
        </w:tblCellMar>
      </w:tblPr>
      <w:tr>
        <w:trPr>
          <w:trHeight w:val="187"/>
        </w:trPr>
        <w:tc>
          <w:tcPr>
            <w:tcW w:w="5480" w:type="dxa"/>
            <w:vAlign w:val="bottom"/>
            <w:gridSpan w:val="2"/>
          </w:tcPr>
          <w:p>
            <w:pPr>
              <w:ind w:left="2280"/>
              <w:spacing w:after="0"/>
              <w:rPr>
                <w:sz w:val="20"/>
                <w:szCs w:val="20"/>
                <w:color w:val="auto"/>
              </w:rPr>
            </w:pPr>
            <w:r>
              <w:rPr>
                <w:rFonts w:ascii="Times New Roman" w:cs="Times New Roman" w:eastAsia="Times New Roman" w:hAnsi="Times New Roman"/>
                <w:sz w:val="14"/>
                <w:szCs w:val="14"/>
                <w:b w:val="1"/>
                <w:bCs w:val="1"/>
                <w:color w:val="auto"/>
              </w:rPr>
              <w:t>Nominee</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Votes Withheld</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9"/>
        </w:trPr>
        <w:tc>
          <w:tcPr>
            <w:tcW w:w="5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Ades</w:t>
            </w:r>
          </w:p>
        </w:tc>
        <w:tc>
          <w:tcPr>
            <w:tcW w:w="3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85,064,304</w:t>
            </w:r>
          </w:p>
        </w:tc>
        <w:tc>
          <w:tcPr>
            <w:tcW w:w="4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235,293</w:t>
            </w:r>
          </w:p>
        </w:tc>
        <w:tc>
          <w:tcPr>
            <w:tcW w:w="4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44,264,824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J. Driscoll</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76,582,548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8,717,049</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44,264,824</w:t>
            </w:r>
          </w:p>
        </w:tc>
        <w:tc>
          <w:tcPr>
            <w:tcW w:w="60" w:type="dxa"/>
            <w:vAlign w:val="bottom"/>
          </w:tcPr>
          <w:p>
            <w:pPr>
              <w:spacing w:after="0"/>
              <w:rPr>
                <w:sz w:val="18"/>
                <w:szCs w:val="18"/>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Prathyusha Duraibabu</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76,767,319</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8,532,278</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44,264,824</w:t>
            </w:r>
          </w:p>
        </w:tc>
        <w:tc>
          <w:tcPr>
            <w:tcW w:w="60" w:type="dxa"/>
            <w:vAlign w:val="bottom"/>
            <w:shd w:val="clear" w:color="auto" w:fill="CCEEFF"/>
          </w:tcPr>
          <w:p>
            <w:pPr>
              <w:spacing w:after="0"/>
              <w:rPr>
                <w:sz w:val="18"/>
                <w:szCs w:val="18"/>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 Giacomin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64,825,495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20,474,102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44,264,824</w:t>
            </w:r>
          </w:p>
        </w:tc>
        <w:tc>
          <w:tcPr>
            <w:tcW w:w="60" w:type="dxa"/>
            <w:vAlign w:val="bottom"/>
          </w:tcPr>
          <w:p>
            <w:pPr>
              <w:spacing w:after="0"/>
              <w:rPr>
                <w:sz w:val="18"/>
                <w:szCs w:val="18"/>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Gary S. Gillheeney, Sr.</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76,736,718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8,562,879</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44,264,824</w:t>
            </w:r>
          </w:p>
        </w:tc>
        <w:tc>
          <w:tcPr>
            <w:tcW w:w="60" w:type="dxa"/>
            <w:vAlign w:val="bottom"/>
            <w:shd w:val="clear" w:color="auto" w:fill="CCEEFF"/>
          </w:tcPr>
          <w:p>
            <w:pPr>
              <w:spacing w:after="0"/>
              <w:rPr>
                <w:sz w:val="18"/>
                <w:szCs w:val="18"/>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Michele Korfin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76,707,741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8,591,856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44,264,824</w:t>
            </w:r>
          </w:p>
        </w:tc>
        <w:tc>
          <w:tcPr>
            <w:tcW w:w="60" w:type="dxa"/>
            <w:vAlign w:val="bottom"/>
          </w:tcPr>
          <w:p>
            <w:pPr>
              <w:spacing w:after="0"/>
              <w:rPr>
                <w:sz w:val="18"/>
                <w:szCs w:val="18"/>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Arthur S. Leibowitz</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76,682,590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8,617,007</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44,264,824</w:t>
            </w:r>
          </w:p>
        </w:tc>
        <w:tc>
          <w:tcPr>
            <w:tcW w:w="60" w:type="dxa"/>
            <w:vAlign w:val="bottom"/>
            <w:shd w:val="clear" w:color="auto" w:fill="CCEEFF"/>
          </w:tcPr>
          <w:p>
            <w:pPr>
              <w:spacing w:after="0"/>
              <w:rPr>
                <w:sz w:val="18"/>
                <w:szCs w:val="18"/>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Glenn H. Nussdorf</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61,049,018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24,250,579</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44,264,824</w:t>
            </w:r>
          </w:p>
        </w:tc>
        <w:tc>
          <w:tcPr>
            <w:tcW w:w="60" w:type="dxa"/>
            <w:vAlign w:val="bottom"/>
          </w:tcPr>
          <w:p>
            <w:pPr>
              <w:spacing w:after="0"/>
              <w:rPr>
                <w:sz w:val="18"/>
                <w:szCs w:val="18"/>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Gilberto Quintero</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76,572,688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8,726,909</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44,264,824</w:t>
            </w:r>
          </w:p>
        </w:tc>
        <w:tc>
          <w:tcPr>
            <w:tcW w:w="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At the Annual Meeting, our stockholders also approved, on an advisory basis, the compensation paid to our named executive officers. The votes cast on this proposal were as follows:</w:t>
      </w:r>
    </w:p>
    <w:p>
      <w:pPr>
        <w:spacing w:after="0" w:line="170"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5800" w:type="dxa"/>
            <w:vAlign w:val="bottom"/>
            <w:gridSpan w:val="2"/>
            <w:vMerge w:val="restart"/>
          </w:tcPr>
          <w:p>
            <w:pPr>
              <w:ind w:left="2480"/>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12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73"/>
        </w:trPr>
        <w:tc>
          <w:tcPr>
            <w:tcW w:w="580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191"/>
        </w:trPr>
        <w:tc>
          <w:tcPr>
            <w:tcW w:w="5500" w:type="dxa"/>
            <w:vAlign w:val="bottom"/>
            <w:tcBorders>
              <w:top w:val="single" w:sz="8" w:color="auto"/>
            </w:tcBorders>
            <w:shd w:val="clear" w:color="auto" w:fill="CCEEFF"/>
          </w:tcPr>
          <w:p>
            <w:pPr>
              <w:jc w:val="right"/>
              <w:ind w:right="335"/>
              <w:spacing w:after="0" w:line="191" w:lineRule="exact"/>
              <w:rPr>
                <w:sz w:val="20"/>
                <w:szCs w:val="20"/>
                <w:color w:val="auto"/>
              </w:rPr>
            </w:pPr>
            <w:r>
              <w:rPr>
                <w:rFonts w:ascii="Times New Roman" w:cs="Times New Roman" w:eastAsia="Times New Roman" w:hAnsi="Times New Roman"/>
                <w:sz w:val="18"/>
                <w:szCs w:val="18"/>
                <w:color w:val="auto"/>
                <w:w w:val="99"/>
              </w:rPr>
              <w:t>To approve, on an advisory basis, the compensation paid to our named</w:t>
            </w:r>
          </w:p>
        </w:tc>
        <w:tc>
          <w:tcPr>
            <w:tcW w:w="3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executive officers.</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72,516,011</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12,722,258</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61,328</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44,264,824</w:t>
            </w:r>
          </w:p>
        </w:tc>
        <w:tc>
          <w:tcPr>
            <w:tcW w:w="0" w:type="dxa"/>
            <w:vAlign w:val="bottom"/>
          </w:tcPr>
          <w:p>
            <w:pPr>
              <w:spacing w:after="0"/>
              <w:rPr>
                <w:sz w:val="1"/>
                <w:szCs w:val="1"/>
                <w:color w:val="auto"/>
              </w:rPr>
            </w:pPr>
          </w:p>
        </w:tc>
      </w:tr>
      <w:tr>
        <w:trPr>
          <w:trHeight w:val="365"/>
        </w:trPr>
        <w:tc>
          <w:tcPr>
            <w:tcW w:w="550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93" w:right="459" w:bottom="1440" w:gutter="0" w:footer="0" w:header="0"/>
          <w:type w:val="continuous"/>
        </w:sectPr>
      </w:pPr>
    </w:p>
    <w:bookmarkStart w:id="2" w:name="page3"/>
    <w:bookmarkEnd w:id="2"/>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At the Annual Meeting, our stockholders also approved the proposal to ratify the appointment of RSM US LLP as our independent registered public accounting firm for our fiscal year ending on December 31, 2026. The votes cast on this proposal were as follows:</w:t>
      </w:r>
    </w:p>
    <w:p>
      <w:pPr>
        <w:spacing w:after="0" w:line="170"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760" w:type="dxa"/>
            <w:vAlign w:val="bottom"/>
            <w:vMerge w:val="restart"/>
          </w:tcPr>
          <w:p>
            <w:pPr>
              <w:ind w:left="2260"/>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3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6"/>
              </w:rPr>
              <w:t>Votes Against</w:t>
            </w:r>
          </w:p>
        </w:tc>
        <w:tc>
          <w:tcPr>
            <w:tcW w:w="11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8"/>
              </w:rPr>
              <w:t>Abstentions</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73"/>
        </w:trPr>
        <w:tc>
          <w:tcPr>
            <w:tcW w:w="47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8"/>
              </w:rPr>
              <w:t>Non-Votes</w:t>
            </w:r>
          </w:p>
        </w:tc>
        <w:tc>
          <w:tcPr>
            <w:tcW w:w="0" w:type="dxa"/>
            <w:vAlign w:val="bottom"/>
          </w:tcPr>
          <w:p>
            <w:pPr>
              <w:spacing w:after="0"/>
              <w:rPr>
                <w:sz w:val="1"/>
                <w:szCs w:val="1"/>
                <w:color w:val="auto"/>
              </w:rPr>
            </w:pPr>
          </w:p>
        </w:tc>
      </w:tr>
      <w:tr>
        <w:trPr>
          <w:trHeight w:val="191"/>
        </w:trPr>
        <w:tc>
          <w:tcPr>
            <w:tcW w:w="47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To ratify the appointment of RSM US LLP as our independent</w:t>
            </w:r>
          </w:p>
        </w:tc>
        <w:tc>
          <w:tcPr>
            <w:tcW w:w="3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registered public accounting firm for fiscal year 2026.</w:t>
            </w:r>
          </w:p>
        </w:tc>
        <w:tc>
          <w:tcPr>
            <w:tcW w:w="2200" w:type="dxa"/>
            <w:vAlign w:val="bottom"/>
            <w:gridSpan w:val="4"/>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128,421,160</w:t>
            </w:r>
          </w:p>
        </w:tc>
        <w:tc>
          <w:tcPr>
            <w:tcW w:w="13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856,933</w:t>
            </w: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286,328</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64"/>
        </w:trPr>
        <w:tc>
          <w:tcPr>
            <w:tcW w:w="4760" w:type="dxa"/>
            <w:vAlign w:val="bottom"/>
          </w:tcPr>
          <w:p>
            <w:pPr>
              <w:spacing w:after="0"/>
              <w:rPr>
                <w:sz w:val="24"/>
                <w:szCs w:val="24"/>
                <w:color w:val="auto"/>
              </w:rPr>
            </w:pPr>
          </w:p>
        </w:tc>
        <w:tc>
          <w:tcPr>
            <w:tcW w:w="7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w:t>
            </w: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60"/>
          </w:cols>
          <w:pgMar w:left="440" w:top="297" w:right="79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Organogenesis Holdings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Lori Freedman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Lori Freedman</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Administrative and Legal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16, 2026</w:t>
      </w:r>
    </w:p>
    <w:sectPr>
      <w:pgSz w:w="11900" w:h="16838" w:orient="portrait"/>
      <w:cols w:equalWidth="0" w:num="1">
        <w:col w:w="10940"/>
      </w:cols>
      <w:pgMar w:left="440" w:top="293"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2026-06-16T15:36:50Z</dcterms:created>
  <dcterms:modified xsi:type="dcterms:W3CDTF">2026-06-16T15:36:50Z</dcterms:modified>
</cp:coreProperties>
</file>