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24,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 Silbert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 and Secretary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Avista Healthcare Public Acquisition Corp.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65 East 55th Street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18th Floor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10022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Avista Healthcare Public Acquisition Corp.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S-4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9,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333-227090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Silbert: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9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September 27, 2018 letter.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 No. 1 to Registration Statement on Form S-4 filed on October 9, 2018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Factors, page 38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a separate risk factor clarifying the relationships between the PIPE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Investors, AHCAP, your sponsor and Avista Capital Partners. The risk factor discussion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should identify the members of the PIPE Investment Committee and any other PIPE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 who are affiliated with AHCAP, Avista Acquisition Corp, and Avista Capital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 and identify any individuals who negotiated on behalf of both AHCAP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26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PIPE Investors in the merger and the PIPE Investors' investment. Ben Silbert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LastNameBen Acquisition Corp. Avista Healthcare Public Silbert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NameAvista Healthcare Public Acquisition Corp. October 24, 2018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7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24, 2018 Page 2 Page 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a separate risk factor to clarify that the aggregate investment of the PIPE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Investors' per share investments in the post transaction company is at a substantial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discount to the public shareholders' investment. The risk factor should clarify that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PIPE Investors' investment in the post combination shares is $5.91 per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Business Combination, page 103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how the overlapping merger, PIPE Investors' subscription in AHCAP,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Organogenesis private placement to the PIPE Investors and the redemption of AHCAP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public shares transaction involving AHPAC shares complied with Regulation M's trading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prohibitions.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7 that AHPAC received the approval of its shareholders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extend the deadline for AHPAC to complete a business combination to February 15,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2019. We note that Section 49.1 of AHPAC's amended and restated memorandum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articles of association provides that Section 49.4 "may not be amended prior to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consummation of a Business Combination without a Special Resolution, the approval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threshold for which is unanimity (100%) of all Members entitled to vote." We understand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holders of 84% of ordinary shares entitled to vote approved your proposal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extend the deadline, which would appear to be short of the unanimous vote required.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Therefore, please tell us how the deadline to complete the business combination was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extended in accordance with AHPAC's articles of association and the requirements of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14A.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185 that in connection with the extraordinary general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meeting to extend the date by which AHPAC has to complete a business combination,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99% of AHPAC's Class A ordinary shares were redeemed. Please tell us why your offer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redeem Class A ordinary shares was made without compliance with the provisions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Act Rule 13e-4 and Regulation 14E. Alternatively, please tell us why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such compliance is not required. Additionally, we note that following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 of 99% of AHPAC Class A ordinary shares, an aggregate of 201,981 AHPAC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 A ordinary shares are outstanding. We further note that pursuant to a subscription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agreement, Avista Capital Partners Fund IV LP (an affiliate of the AHPAC) purchased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in AHPAC and also purchased approximately 3,200,000 shares of merger target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Organogenesis, which seems to place insiders of AHPAC on both sides of the merger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transaction. It appears that such redemption could be part of a transaction or series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 which could have a reasonable likelihood of being eligible to terminate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reporting status or in the de-listing of AHPAC ordinary shares. Please provide us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your analysis as to the applicability of Exchange Act Rule 13e-3. The AHPAC Board's Reasons for the Approval of the Business Combination, page</w:t>
      </w:r>
    </w:p>
    <w:p>
      <w:pPr>
        <w:spacing w:after="0"/>
        <w:tabs>
          <w:tab w:leader="none" w:pos="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17. Please revise your registration statement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include the comparable company analysis. The disclosure should explain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the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comparable companies were selected, if any companies that met the selection criteria were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 Silbert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6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Avista Healthcare Public Acquisition Corp. October 24, 2018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excluded from the analysis, the financial metrics used in the analysis, and Organogenesis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2019 estimated revenue and 2018 estimated gross margin percentages used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analysis. Additionally, explain how you estimated 2019 revenues and gross margin for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comparable companies.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Relationships and Transactions, page 281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632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disclosure to include the PIPE Investors transactions with AHPAC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Organogenesis.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Keira Nakada at 202-551-3659 or Kevin Vaughn at 202-551-3494 if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Christine Westbrook at 202-551-5019 or Suzanne Hayes at 202-551-3675 with any other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341" w:gutter="0" w:footer="0" w:header="0"/>
        </w:sectPr>
      </w:pPr>
    </w:p>
    <w:bookmarkStart w:id="2" w:name="page3"/>
    <w:bookmarkEnd w:id="2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LastNameBen Silbert</w:t>
      </w:r>
    </w:p>
    <w:p>
      <w:pPr>
        <w:jc w:val="right"/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NameAvista Healthcare Public Acquisition Corp.</w:t>
      </w:r>
    </w:p>
    <w:p>
      <w:pPr>
        <w:ind w:left="5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Healthcare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Insurance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24, 2018 Page 3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7179" w:firstLine="8"/>
        <w:spacing w:after="0" w:line="235" w:lineRule="auto"/>
        <w:tabs>
          <w:tab w:leader="none" w:pos="1053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Jackie Cohen, Esq.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"/>
      <w:numFmt w:val="decimal"/>
      <w:start w:val="113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4">
    <w:nsid w:val="46E87CCD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2020-10-07T23:34:13Z</dcterms:created>
  <dcterms:modified xsi:type="dcterms:W3CDTF">2020-10-07T23:34:13Z</dcterms:modified>
</cp:coreProperties>
</file>