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5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153035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17"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170180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55"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Pursuant to Section 13 or 15(d)</w:t>
      </w:r>
    </w:p>
    <w:p>
      <w:pPr>
        <w:jc w:val="center"/>
        <w:ind w:right="-259"/>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Date of Report (Date of Earliest Event Reported): February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167005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37" w:lineRule="exact"/>
        <w:rPr>
          <w:sz w:val="24"/>
          <w:szCs w:val="24"/>
          <w:color w:val="auto"/>
        </w:rPr>
      </w:pPr>
    </w:p>
    <w:p>
      <w:pPr>
        <w:jc w:val="center"/>
        <w:ind w:right="-259"/>
        <w:spacing w:after="0"/>
        <w:rPr>
          <w:sz w:val="20"/>
          <w:szCs w:val="20"/>
          <w:color w:val="auto"/>
        </w:rPr>
      </w:pPr>
      <w:r>
        <w:rPr>
          <w:rFonts w:ascii="Arial" w:cs="Arial" w:eastAsia="Arial" w:hAnsi="Arial"/>
          <w:sz w:val="38"/>
          <w:szCs w:val="38"/>
          <w:b w:val="1"/>
          <w:bCs w:val="1"/>
          <w:color w:val="auto"/>
        </w:rPr>
        <w:t>ORGANOGENESIS HOLDINGS INC.</w:t>
      </w:r>
    </w:p>
    <w:p>
      <w:pPr>
        <w:spacing w:after="0" w:line="4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156845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79" w:lineRule="exact"/>
        <w:rPr>
          <w:sz w:val="24"/>
          <w:szCs w:val="24"/>
          <w:color w:val="auto"/>
        </w:rPr>
      </w:pPr>
    </w:p>
    <w:tbl>
      <w:tblPr>
        <w:tblLayout w:type="fixed"/>
        <w:tblInd w:w="1180" w:type="dxa"/>
        <w:tblCellMar>
          <w:top w:w="0" w:type="dxa"/>
          <w:left w:w="0" w:type="dxa"/>
          <w:bottom w:w="0" w:type="dxa"/>
          <w:right w:w="0" w:type="dxa"/>
        </w:tblCellMar>
      </w:tblPr>
      <w:tr>
        <w:trPr>
          <w:trHeight w:val="189"/>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560" w:type="dxa"/>
            <w:vAlign w:val="bottom"/>
          </w:tcPr>
          <w:p>
            <w:pPr>
              <w:ind w:left="2760"/>
              <w:spacing w:after="0"/>
              <w:rPr>
                <w:sz w:val="20"/>
                <w:szCs w:val="20"/>
                <w:color w:val="auto"/>
              </w:rPr>
            </w:pPr>
            <w:r>
              <w:rPr>
                <w:rFonts w:ascii="Arial" w:cs="Arial" w:eastAsia="Arial" w:hAnsi="Arial"/>
                <w:sz w:val="16"/>
                <w:szCs w:val="16"/>
                <w:b w:val="1"/>
                <w:bCs w:val="1"/>
                <w:color w:val="auto"/>
              </w:rPr>
              <w:t>001-37906</w:t>
            </w:r>
          </w:p>
        </w:tc>
        <w:tc>
          <w:tcPr>
            <w:tcW w:w="1800" w:type="dxa"/>
            <w:vAlign w:val="bottom"/>
          </w:tcPr>
          <w:p>
            <w:pPr>
              <w:jc w:val="right"/>
              <w:ind w:right="30"/>
              <w:spacing w:after="0"/>
              <w:rPr>
                <w:sz w:val="20"/>
                <w:szCs w:val="20"/>
                <w:color w:val="auto"/>
              </w:rPr>
            </w:pPr>
            <w:r>
              <w:rPr>
                <w:rFonts w:ascii="Arial" w:cs="Arial" w:eastAsia="Arial" w:hAnsi="Arial"/>
                <w:sz w:val="16"/>
                <w:szCs w:val="16"/>
                <w:b w:val="1"/>
                <w:bCs w:val="1"/>
                <w:color w:val="auto"/>
              </w:rPr>
              <w:t>98-1329150</w:t>
            </w:r>
          </w:p>
        </w:tc>
      </w:tr>
      <w:tr>
        <w:trPr>
          <w:trHeight w:val="132"/>
        </w:trPr>
        <w:tc>
          <w:tcPr>
            <w:tcW w:w="156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0"/>
              </w:rPr>
              <w:t>(State or Other Jurisdiction</w:t>
            </w:r>
          </w:p>
        </w:tc>
        <w:tc>
          <w:tcPr>
            <w:tcW w:w="5560" w:type="dxa"/>
            <w:vAlign w:val="bottom"/>
          </w:tcPr>
          <w:p>
            <w:pPr>
              <w:ind w:left="2740"/>
              <w:spacing w:after="0" w:line="133" w:lineRule="exact"/>
              <w:rPr>
                <w:sz w:val="20"/>
                <w:szCs w:val="20"/>
                <w:color w:val="auto"/>
              </w:rPr>
            </w:pPr>
            <w:r>
              <w:rPr>
                <w:rFonts w:ascii="Arial" w:cs="Arial" w:eastAsia="Arial" w:hAnsi="Arial"/>
                <w:sz w:val="13"/>
                <w:szCs w:val="13"/>
                <w:b w:val="1"/>
                <w:bCs w:val="1"/>
                <w:color w:val="auto"/>
              </w:rPr>
              <w:t>(Commission</w:t>
            </w:r>
          </w:p>
        </w:tc>
        <w:tc>
          <w:tcPr>
            <w:tcW w:w="1800" w:type="dxa"/>
            <w:vAlign w:val="bottom"/>
          </w:tcPr>
          <w:p>
            <w:pPr>
              <w:jc w:val="center"/>
              <w:ind w:left="750"/>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of Incorporation)</w:t>
            </w:r>
          </w:p>
        </w:tc>
        <w:tc>
          <w:tcPr>
            <w:tcW w:w="5560" w:type="dxa"/>
            <w:vAlign w:val="bottom"/>
          </w:tcPr>
          <w:p>
            <w:pPr>
              <w:ind w:left="2740"/>
              <w:spacing w:after="0"/>
              <w:rPr>
                <w:sz w:val="20"/>
                <w:szCs w:val="20"/>
                <w:color w:val="auto"/>
              </w:rPr>
            </w:pPr>
            <w:r>
              <w:rPr>
                <w:rFonts w:ascii="Arial" w:cs="Arial" w:eastAsia="Arial" w:hAnsi="Arial"/>
                <w:sz w:val="13"/>
                <w:szCs w:val="13"/>
                <w:b w:val="1"/>
                <w:bCs w:val="1"/>
                <w:color w:val="auto"/>
              </w:rPr>
              <w:t>File Number)</w:t>
            </w:r>
          </w:p>
        </w:tc>
        <w:tc>
          <w:tcPr>
            <w:tcW w:w="1800" w:type="dxa"/>
            <w:vAlign w:val="bottom"/>
          </w:tcPr>
          <w:p>
            <w:pPr>
              <w:jc w:val="center"/>
              <w:ind w:left="730"/>
              <w:spacing w:after="0"/>
              <w:rPr>
                <w:sz w:val="20"/>
                <w:szCs w:val="20"/>
                <w:color w:val="auto"/>
              </w:rPr>
            </w:pPr>
            <w:r>
              <w:rPr>
                <w:rFonts w:ascii="Arial" w:cs="Arial" w:eastAsia="Arial" w:hAnsi="Arial"/>
                <w:sz w:val="13"/>
                <w:szCs w:val="13"/>
                <w:b w:val="1"/>
                <w:bCs w:val="1"/>
                <w:color w:val="auto"/>
                <w:w w:val="91"/>
              </w:rPr>
              <w:t>Identification No.)</w:t>
            </w:r>
          </w:p>
        </w:tc>
      </w:tr>
      <w:tr>
        <w:trPr>
          <w:trHeight w:val="366"/>
        </w:trPr>
        <w:tc>
          <w:tcPr>
            <w:tcW w:w="1560" w:type="dxa"/>
            <w:vAlign w:val="bottom"/>
          </w:tcPr>
          <w:p>
            <w:pPr>
              <w:spacing w:after="0"/>
              <w:rPr>
                <w:sz w:val="24"/>
                <w:szCs w:val="24"/>
                <w:color w:val="auto"/>
              </w:rPr>
            </w:pPr>
          </w:p>
        </w:tc>
        <w:tc>
          <w:tcPr>
            <w:tcW w:w="5560" w:type="dxa"/>
            <w:vAlign w:val="bottom"/>
          </w:tcPr>
          <w:p>
            <w:pPr>
              <w:jc w:val="center"/>
              <w:ind w:right="3308"/>
              <w:spacing w:after="0"/>
              <w:rPr>
                <w:sz w:val="20"/>
                <w:szCs w:val="20"/>
                <w:color w:val="auto"/>
              </w:rPr>
            </w:pPr>
            <w:r>
              <w:rPr>
                <w:rFonts w:ascii="Arial" w:cs="Arial" w:eastAsia="Arial" w:hAnsi="Arial"/>
                <w:sz w:val="16"/>
                <w:szCs w:val="16"/>
                <w:b w:val="1"/>
                <w:bCs w:val="1"/>
                <w:color w:val="auto"/>
                <w:w w:val="92"/>
              </w:rPr>
              <w:t>85 Dan Road</w:t>
            </w:r>
          </w:p>
        </w:tc>
        <w:tc>
          <w:tcPr>
            <w:tcW w:w="1800" w:type="dxa"/>
            <w:vAlign w:val="bottom"/>
          </w:tcPr>
          <w:p>
            <w:pPr>
              <w:spacing w:after="0"/>
              <w:rPr>
                <w:sz w:val="24"/>
                <w:szCs w:val="24"/>
                <w:color w:val="auto"/>
              </w:rPr>
            </w:pPr>
          </w:p>
        </w:tc>
      </w:tr>
      <w:tr>
        <w:trPr>
          <w:trHeight w:val="201"/>
        </w:trPr>
        <w:tc>
          <w:tcPr>
            <w:tcW w:w="1560" w:type="dxa"/>
            <w:vAlign w:val="bottom"/>
          </w:tcPr>
          <w:p>
            <w:pPr>
              <w:spacing w:after="0"/>
              <w:rPr>
                <w:sz w:val="17"/>
                <w:szCs w:val="17"/>
                <w:color w:val="auto"/>
              </w:rPr>
            </w:pPr>
          </w:p>
        </w:tc>
        <w:tc>
          <w:tcPr>
            <w:tcW w:w="5560" w:type="dxa"/>
            <w:vAlign w:val="bottom"/>
          </w:tcPr>
          <w:p>
            <w:pPr>
              <w:jc w:val="center"/>
              <w:ind w:right="3308"/>
              <w:spacing w:after="0"/>
              <w:rPr>
                <w:sz w:val="20"/>
                <w:szCs w:val="20"/>
                <w:color w:val="auto"/>
              </w:rPr>
            </w:pPr>
            <w:r>
              <w:rPr>
                <w:rFonts w:ascii="Arial" w:cs="Arial" w:eastAsia="Arial" w:hAnsi="Arial"/>
                <w:sz w:val="16"/>
                <w:szCs w:val="16"/>
                <w:b w:val="1"/>
                <w:bCs w:val="1"/>
                <w:color w:val="auto"/>
                <w:w w:val="96"/>
              </w:rPr>
              <w:t>Canton, MA</w:t>
            </w:r>
          </w:p>
        </w:tc>
        <w:tc>
          <w:tcPr>
            <w:tcW w:w="1800" w:type="dxa"/>
            <w:vAlign w:val="bottom"/>
          </w:tcPr>
          <w:p>
            <w:pPr>
              <w:jc w:val="right"/>
              <w:ind w:right="230"/>
              <w:spacing w:after="0"/>
              <w:rPr>
                <w:sz w:val="20"/>
                <w:szCs w:val="20"/>
                <w:color w:val="auto"/>
              </w:rPr>
            </w:pPr>
            <w:r>
              <w:rPr>
                <w:rFonts w:ascii="Arial" w:cs="Arial" w:eastAsia="Arial" w:hAnsi="Arial"/>
                <w:sz w:val="16"/>
                <w:szCs w:val="16"/>
                <w:b w:val="1"/>
                <w:bCs w:val="1"/>
                <w:color w:val="auto"/>
              </w:rPr>
              <w:t>02021</w:t>
            </w:r>
          </w:p>
        </w:tc>
      </w:tr>
      <w:tr>
        <w:trPr>
          <w:trHeight w:val="166"/>
        </w:trPr>
        <w:tc>
          <w:tcPr>
            <w:tcW w:w="1560" w:type="dxa"/>
            <w:vAlign w:val="bottom"/>
          </w:tcPr>
          <w:p>
            <w:pPr>
              <w:spacing w:after="0"/>
              <w:rPr>
                <w:sz w:val="14"/>
                <w:szCs w:val="14"/>
                <w:color w:val="auto"/>
              </w:rPr>
            </w:pPr>
          </w:p>
        </w:tc>
        <w:tc>
          <w:tcPr>
            <w:tcW w:w="5560" w:type="dxa"/>
            <w:vAlign w:val="bottom"/>
          </w:tcPr>
          <w:p>
            <w:pPr>
              <w:jc w:val="center"/>
              <w:ind w:right="328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800" w:type="dxa"/>
            <w:vAlign w:val="bottom"/>
          </w:tcPr>
          <w:p>
            <w:pPr>
              <w:jc w:val="center"/>
              <w:ind w:left="730"/>
              <w:spacing w:after="0"/>
              <w:rPr>
                <w:sz w:val="20"/>
                <w:szCs w:val="20"/>
                <w:color w:val="auto"/>
              </w:rPr>
            </w:pPr>
            <w:r>
              <w:rPr>
                <w:rFonts w:ascii="Arial" w:cs="Arial" w:eastAsia="Arial" w:hAnsi="Arial"/>
                <w:sz w:val="13"/>
                <w:szCs w:val="13"/>
                <w:b w:val="1"/>
                <w:bCs w:val="1"/>
                <w:color w:val="auto"/>
                <w:w w:val="93"/>
              </w:rPr>
              <w:t>(Zip Code)</w:t>
            </w:r>
          </w:p>
        </w:tc>
      </w:tr>
      <w:tr>
        <w:trPr>
          <w:trHeight w:val="350"/>
        </w:trPr>
        <w:tc>
          <w:tcPr>
            <w:tcW w:w="1560" w:type="dxa"/>
            <w:vAlign w:val="bottom"/>
          </w:tcPr>
          <w:p>
            <w:pPr>
              <w:spacing w:after="0"/>
              <w:rPr>
                <w:sz w:val="24"/>
                <w:szCs w:val="24"/>
                <w:color w:val="auto"/>
              </w:rPr>
            </w:pPr>
          </w:p>
        </w:tc>
        <w:tc>
          <w:tcPr>
            <w:tcW w:w="5560" w:type="dxa"/>
            <w:vAlign w:val="bottom"/>
          </w:tcPr>
          <w:p>
            <w:pPr>
              <w:jc w:val="center"/>
              <w:ind w:left="328"/>
              <w:spacing w:after="0"/>
              <w:rPr>
                <w:sz w:val="20"/>
                <w:szCs w:val="20"/>
                <w:color w:val="auto"/>
              </w:rPr>
            </w:pPr>
            <w:r>
              <w:rPr>
                <w:rFonts w:ascii="Arial" w:cs="Arial" w:eastAsia="Arial" w:hAnsi="Arial"/>
                <w:sz w:val="16"/>
                <w:szCs w:val="16"/>
                <w:b w:val="1"/>
                <w:bCs w:val="1"/>
                <w:color w:val="auto"/>
                <w:w w:val="91"/>
              </w:rPr>
              <w:t>(781) 575-0775</w:t>
            </w:r>
          </w:p>
        </w:tc>
        <w:tc>
          <w:tcPr>
            <w:tcW w:w="180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5560" w:type="dxa"/>
            <w:vAlign w:val="bottom"/>
          </w:tcPr>
          <w:p>
            <w:pPr>
              <w:jc w:val="center"/>
              <w:ind w:left="308"/>
              <w:spacing w:after="0"/>
              <w:rPr>
                <w:sz w:val="20"/>
                <w:szCs w:val="20"/>
                <w:color w:val="auto"/>
              </w:rPr>
            </w:pPr>
            <w:r>
              <w:rPr>
                <w:rFonts w:ascii="Arial" w:cs="Arial" w:eastAsia="Arial" w:hAnsi="Arial"/>
                <w:sz w:val="13"/>
                <w:szCs w:val="13"/>
                <w:b w:val="1"/>
                <w:bCs w:val="1"/>
                <w:color w:val="auto"/>
                <w:w w:val="88"/>
              </w:rPr>
              <w:t>(Registrant’s telephone number, including area code)</w:t>
            </w:r>
          </w:p>
        </w:tc>
        <w:tc>
          <w:tcPr>
            <w:tcW w:w="1800" w:type="dxa"/>
            <w:vAlign w:val="bottom"/>
          </w:tcPr>
          <w:p>
            <w:pPr>
              <w:spacing w:after="0"/>
              <w:rPr>
                <w:sz w:val="14"/>
                <w:szCs w:val="14"/>
                <w:color w:val="auto"/>
              </w:rPr>
            </w:pPr>
          </w:p>
        </w:tc>
      </w:tr>
      <w:tr>
        <w:trPr>
          <w:trHeight w:val="350"/>
        </w:trPr>
        <w:tc>
          <w:tcPr>
            <w:tcW w:w="1560" w:type="dxa"/>
            <w:vAlign w:val="bottom"/>
          </w:tcPr>
          <w:p>
            <w:pPr>
              <w:spacing w:after="0"/>
              <w:rPr>
                <w:sz w:val="24"/>
                <w:szCs w:val="24"/>
                <w:color w:val="auto"/>
              </w:rPr>
            </w:pPr>
          </w:p>
        </w:tc>
        <w:tc>
          <w:tcPr>
            <w:tcW w:w="5560" w:type="dxa"/>
            <w:vAlign w:val="bottom"/>
          </w:tcPr>
          <w:p>
            <w:pPr>
              <w:jc w:val="center"/>
              <w:ind w:left="308"/>
              <w:spacing w:after="0"/>
              <w:rPr>
                <w:sz w:val="20"/>
                <w:szCs w:val="20"/>
                <w:color w:val="auto"/>
              </w:rPr>
            </w:pPr>
            <w:r>
              <w:rPr>
                <w:rFonts w:ascii="Arial" w:cs="Arial" w:eastAsia="Arial" w:hAnsi="Arial"/>
                <w:sz w:val="16"/>
                <w:szCs w:val="16"/>
                <w:b w:val="1"/>
                <w:bCs w:val="1"/>
                <w:color w:val="auto"/>
                <w:w w:val="91"/>
              </w:rPr>
              <w:t>Not Applicable</w:t>
            </w:r>
          </w:p>
        </w:tc>
        <w:tc>
          <w:tcPr>
            <w:tcW w:w="180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5560" w:type="dxa"/>
            <w:vAlign w:val="bottom"/>
          </w:tcPr>
          <w:p>
            <w:pPr>
              <w:jc w:val="center"/>
              <w:ind w:left="328"/>
              <w:spacing w:after="0"/>
              <w:rPr>
                <w:sz w:val="20"/>
                <w:szCs w:val="20"/>
                <w:color w:val="auto"/>
              </w:rPr>
            </w:pPr>
            <w:r>
              <w:rPr>
                <w:rFonts w:ascii="Arial" w:cs="Arial" w:eastAsia="Arial" w:hAnsi="Arial"/>
                <w:sz w:val="13"/>
                <w:szCs w:val="13"/>
                <w:b w:val="1"/>
                <w:bCs w:val="1"/>
                <w:color w:val="auto"/>
                <w:w w:val="87"/>
              </w:rPr>
              <w:t>(Registrant’s name or former address, if change since last report)</w:t>
            </w:r>
          </w:p>
        </w:tc>
        <w:tc>
          <w:tcPr>
            <w:tcW w:w="18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143510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32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900" w:hanging="447"/>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900" w:hanging="447"/>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900" w:hanging="447"/>
        <w:spacing w:after="0"/>
        <w:tabs>
          <w:tab w:leader="none" w:pos="9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04" w:lineRule="exact"/>
        <w:rPr>
          <w:sz w:val="24"/>
          <w:szCs w:val="24"/>
          <w:color w:val="auto"/>
        </w:rPr>
      </w:pPr>
    </w:p>
    <w:p>
      <w:pPr>
        <w:ind w:left="460" w:firstLine="439"/>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right="220" w:firstLine="91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156845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60"/>
          </w:cols>
          <w:pgMar w:left="240" w:top="343" w:right="4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in Item 7.01 of this Current Report on Form 8-K below is incorporated in this Item 2.02 by reference.</w:t>
      </w:r>
    </w:p>
    <w:p>
      <w:pPr>
        <w:spacing w:after="0" w:line="329"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On February 12, 2019, Organogenesis Holdings Inc. (“ORGO” or the Company”) reaffirmed the revenue guidance for the fourth quarter and year ended December 31, 2018 and the year ended December 31, 2019, which was previously provided on January 7, 2019 and is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Fourth Quarter and Fiscal 2018</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expects to report net revenue for the fourth quarter of between $62.1 million and $63.1 million, resulting in expected net revenue for the year ended December 31, 2018 of between $192 million and $193 million. ORGO reported net revenue for the year ended December 31, 2017 of $198.5 million.</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fiscal 2018 forecast assumes (i) net revenue from Advanced Wound Care products of between $163.1 million and $164 million, representing a decrease in revenue of 8% to 9% over 2017 and (ii) net revenue from Surgical &amp; Sports Medicine products of between $28.9 million and $29 million, representing an increase of 47% to 48% over 2017. In addition, ORGO has assumed for purposes of this forecast that net revenue from the sale of its PuraPly products will represent between $68.1 million and $69.1 million of total net revenue, representing a decrease of 37% to 38% over 2017.</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2019</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Company announced total net revenue expectations for the year ended December 31, 2019. For the fiscal 2019 period, the Company expects total net revenue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between $248 million and $259 million, representing growth of approximately 29% to 35% year-over-year as compared to the midpoint of the expected 2018 results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approximately $192.5 million. The fiscal 2019 forecast assumes (i) net revenue from Advanced Wound Care products of between $219 million and $229 million, representing</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growth of approximately 34% to 40% year-over-year as compared to the midpoint of the expected 2018 results of approximately $163.6 million and (ii) net revenue from</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Surgical &amp; Sports Medicine products of between $29.5 million and $31 million, representing growth of approximately 2% to 7% year-over-year as compared to the midpoint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expected 2018 results of approximately $28.9 million. The fiscal 2019 forecast also assumes that net revenue from the sale of its PuraPly products will represent between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$96 million and $103 million of total net revenue, representing growth of approximately 40% to 50% year-over-year as compared to the midpoint of the expected 2018 results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$68.6 million.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Presentation</w:t>
      </w:r>
    </w:p>
    <w:p>
      <w:pPr>
        <w:spacing w:after="0" w:line="104"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A copy of the slide presentation that will be used by representatives of the Company in connection with investor meetings or presentations from time to time (the “Corporate Presentation”) is attached to this Current Report on Form 8-K as Exhibit 99.1. The Corporate Presentation is current as of February 12, 2019, and the Company disclaims any obligation to correct or update this material in the future.</w:t>
      </w:r>
    </w:p>
    <w:p>
      <w:pPr>
        <w:spacing w:after="0" w:line="162" w:lineRule="exact"/>
        <w:rPr>
          <w:sz w:val="20"/>
          <w:szCs w:val="20"/>
          <w:color w:val="auto"/>
        </w:rPr>
      </w:pPr>
    </w:p>
    <w:p>
      <w:pPr>
        <w:ind w:right="400"/>
        <w:spacing w:after="0" w:line="264" w:lineRule="auto"/>
        <w:rPr>
          <w:sz w:val="20"/>
          <w:szCs w:val="20"/>
          <w:color w:val="auto"/>
        </w:rPr>
      </w:pPr>
      <w:r>
        <w:rPr>
          <w:rFonts w:ascii="Arial" w:cs="Arial" w:eastAsia="Arial" w:hAnsi="Arial"/>
          <w:sz w:val="16"/>
          <w:szCs w:val="16"/>
          <w:color w:val="auto"/>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Company makes forward-looking statements in this report within the meaning of the Private Securities Litigation Reform Act of 1995. These forward-looking statements relate to expectations or forecasts for future events. Forward-looking statements may be identified by the use of words such as “will,” “forecast,” “intend,” “seek,” “target,” “anticipate,” “believe,” “expect,” “estimate,” “plan,” “outlook,” “extend,” and “project” and other similar expressions that predict or indicate future events or trends or that are not statements of historical matters. Such forward looking statements include statements relating to the Company’s expected revenue for fiscal 2018 and fiscal 2019 and the breakdown of such revenues</w:t>
      </w:r>
    </w:p>
    <w:p>
      <w:pPr>
        <w:sectPr>
          <w:pgSz w:w="11900" w:h="16838" w:orient="portrait"/>
          <w:cols w:equalWidth="0" w:num="1">
            <w:col w:w="11340"/>
          </w:cols>
          <w:pgMar w:left="240" w:top="255" w:right="31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both its Advanced Wound Care and Surgical &amp; Sports Medicine categories as well as the estimated revenue contribution of its PuraPly products. Forward looking statements with respect to the continued existence and operations of the Company, strategies, prospects and other aspects of the business of the Company are based on current expectations that are subject to known and unknown risks and uncertainties, which could cause actual results or outcomes to differ materially from expectations expressed or implied by such forward looking statements. These factors include, but are not limited to: (1) the Company has incurred significant losses since inception and anticipates that it will incur substantial losses for the foreseeable future; (2) the Company faces significant and continuing competition, which could adversely affect its business, results of operations and financial condition; (3) rapid technological change could cause the Company’s products to become obsolete and if the Company does not enhance its product offerings through its research and development efforts, it may be unable to effectively compete; (4) to be commercially successful, the Company must convince physicians that its products are safe and effective alternatives to existing treatments and that its products should be used in their procedures; (5) the Company’s ability to raise funds to expand its business; (6) the impact of any changes to the reimbursement levels for the Company’s products and the impact to the Company of the loss of preferred “pass through” status for PuraPly AM and PuraPly on October 1, 2020; (7) the Company’s ability to successfully appeal Nasdaq’s determination to delist the securities and otherwise maintain compliance with applicable Nasdaq listing standards; (8) changes in applicable laws or regulations; (9) the possibility that the Company may be adversely affected by other economic, business, and/or competitive factors; and (10) other risks and uncertainties described in other documents filed or to be filed with the Securities and Exchange Commission by the Company. Although it may voluntarily do so from time to time, the Company undertakes no commitment to update or revise the forward-looking statements, whether as a result of new information, future events or otherwise, except as required by applicable securities laws.</w:t>
      </w:r>
    </w:p>
    <w:p>
      <w:pPr>
        <w:spacing w:after="0" w:line="200" w:lineRule="exact"/>
        <w:rPr>
          <w:sz w:val="20"/>
          <w:szCs w:val="20"/>
          <w:color w:val="auto"/>
        </w:rPr>
      </w:pPr>
    </w:p>
    <w:p>
      <w:pPr>
        <w:spacing w:after="0" w:line="273"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Exhibits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relating to Item 7.01 shall be deemed to be furnished, and not filed:</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590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80" cy="7620"/>
                    </a:xfrm>
                    <a:prstGeom prst="rect">
                      <a:avLst/>
                    </a:prstGeom>
                    <a:noFill/>
                  </pic:spPr>
                </pic:pic>
              </a:graphicData>
            </a:graphic>
          </wp:anchor>
        </w:drawing>
      </w:r>
    </w:p>
    <w:p>
      <w:pPr>
        <w:spacing w:after="0" w:line="64" w:lineRule="exact"/>
        <w:rPr>
          <w:sz w:val="20"/>
          <w:szCs w:val="20"/>
          <w:color w:val="auto"/>
        </w:rPr>
      </w:pPr>
    </w:p>
    <w:p>
      <w:pPr>
        <w:spacing w:after="0"/>
        <w:tabs>
          <w:tab w:leader="none" w:pos="94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5">
        <w:r>
          <w:rPr>
            <w:rFonts w:ascii="Arial" w:cs="Arial" w:eastAsia="Arial" w:hAnsi="Arial"/>
            <w:sz w:val="14"/>
            <w:szCs w:val="14"/>
            <w:u w:val="single" w:color="auto"/>
            <w:color w:val="0000EE"/>
          </w:rPr>
          <w:t>Corporate Presentation current as of February 12, 2019</w:t>
        </w:r>
      </w:hyperlink>
    </w:p>
    <w:p>
      <w:pPr>
        <w:sectPr>
          <w:pgSz w:w="11900" w:h="16838" w:orient="portrait"/>
          <w:cols w:equalWidth="0" w:num="1">
            <w:col w:w="11420"/>
          </w:cols>
          <w:pgMar w:left="240" w:top="259"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7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Organogenesis Holdings Inc.</w:t>
      </w:r>
    </w:p>
    <w:p>
      <w:pPr>
        <w:spacing w:after="0" w:line="200"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Timothy 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13335</wp:posOffset>
            </wp:positionV>
            <wp:extent cx="25171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7140" cy="7620"/>
                    </a:xfrm>
                    <a:prstGeom prst="rect">
                      <a:avLst/>
                    </a:prstGeom>
                    <a:noFill/>
                  </pic:spPr>
                </pic:pic>
              </a:graphicData>
            </a:graphic>
          </wp:anchor>
        </w:drawing>
      </w:r>
    </w:p>
    <w:p>
      <w:pPr>
        <w:spacing w:after="0" w:line="12"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6"/>
          <w:szCs w:val="16"/>
          <w:color w:val="auto"/>
        </w:rPr>
        <w:t>Name:</w:t>
        <w:tab/>
        <w:t>Timothy M. Cunningham</w:t>
      </w:r>
    </w:p>
    <w:p>
      <w:pPr>
        <w:spacing w:after="0" w:line="21"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Financial Officer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2019</w:t>
      </w:r>
    </w:p>
    <w:p>
      <w:pPr>
        <w:sectPr>
          <w:pgSz w:w="11900" w:h="16838" w:orient="portrait"/>
          <w:cols w:equalWidth="0" w:num="1">
            <w:col w:w="11400"/>
          </w:cols>
          <w:pgMar w:left="240" w:top="255" w:right="25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2019-12-28T16:40:19Z</dcterms:created>
  <dcterms:modified xsi:type="dcterms:W3CDTF">2019-12-28T16:40:19Z</dcterms:modified>
</cp:coreProperties>
</file>