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Cavorsi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ORGANOGENESIS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DAN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Organogenesis Holdings Inc.</w:t>
              </w:r>
            </w:hyperlink>
            <w:r>
              <w:rPr/>
              <w:t xml:space="preserve"> [ </w:t>
            </w:r>
            <w:r>
              <w:rPr>
                <w:rFonts w:ascii="Times;serif" w:hAnsi="Times;serif"/>
                <w:color w:val="0000FF"/>
                <w:sz w:val="24"/>
                <w:shd w:fill="FFFFFF" w:val="clear"/>
              </w:rPr>
              <w:t>ORGO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 Strategy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93,750</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265,257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16,290</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281,547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276,115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53,452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53,452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under the Organogenesis Holdings Inc. ("Organogenesis") 2018 Equity Incentive Plan. Each RSU represents the contingent right to receive, upon vesting of the unit, one share of Organogenesis Class A common stock. The RSUs vest in equal annual installments over four years beginning February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issued pursuant to the vesting and settlement of a performance share award granted in 2025 based on the achievement of certain performance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becomes exercisable in equal annual installments over four years beginning February 15,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R. Kolb,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0983" TargetMode="External"/><Relationship Id="rId5" Type="http://schemas.openxmlformats.org/officeDocument/2006/relationships/hyperlink" Target="http://www.sec.gov/cgi-bin/browse-edgar?action=getcompany&amp;CIK=00016611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3798</Characters>
  <CharactersWithSpaces>4415</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