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orgo-20260331.htm"/>
        <w:bookmarkStart w:id="1" w:name="ksorgo20260331"/>
        <w:bookmarkEnd w:id="0"/>
        <w:bookmarkEnd w:id="1"/>
        <w:r>
          <w:rPr>
            <w:rStyle w:val="InternetLink"/>
            <w:rFonts w:ascii="Times New Roman" w:hAnsi="Times New Roman"/>
            <w:b/>
            <w:sz w:val="20"/>
            <w:u w:val="single"/>
          </w:rPr>
          <w:t>Table of Contents</w:t>
        </w:r>
      </w:hyperlink>
    </w:p>
    <w:p>
      <w:pPr>
        <w:pStyle w:val="TextBody"/>
        <w:bidi w:val="0"/>
        <w:jc w:val="right"/>
        <w:rPr/>
      </w:pPr>
      <w:r>
        <w:rPr/>
        <w:t> </w:t>
      </w:r>
    </w:p>
    <w:p>
      <w:pPr>
        <w:pStyle w:val="TextBody"/>
        <w:bidi w:val="0"/>
        <w:jc w:val="left"/>
        <w:rPr/>
      </w:pPr>
      <w:r>
        <w:rPr/>
        <w:t> </w:t>
      </w:r>
    </w:p>
    <w:p>
      <w:pPr>
        <w:pStyle w:val="TextBody"/>
        <w:pBdr>
          <w:bottom w:val="doub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w:t>
      </w:r>
      <w:r>
        <w:rPr>
          <w:rFonts w:ascii="Times New Roman" w:hAnsi="Times New Roman"/>
          <w:b/>
          <w:color w:val="000000"/>
          <w:sz w:val="24"/>
        </w:rPr>
        <w:t>,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001-37906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6"/>
        </w:rPr>
        <w:t>ORGANOGENESIS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47"/>
        <w:gridCol w:w="3258"/>
      </w:tblGrid>
      <w:tr>
        <w:trPr/>
        <w:tc>
          <w:tcPr>
            <w:tcW w:w="6947" w:type="dxa"/>
            <w:tcBorders/>
            <w:vAlign w:val="center"/>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6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98-1329150</w:t>
            </w:r>
          </w:p>
        </w:tc>
      </w:tr>
      <w:tr>
        <w:trPr/>
        <w:tc>
          <w:tcPr>
            <w:tcW w:w="694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325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69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 Dan Road</w:t>
            </w:r>
          </w:p>
        </w:tc>
        <w:tc>
          <w:tcPr>
            <w:tcW w:w="3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tcMar>
              <w:top w:w="0" w:type="dxa"/>
              <w:left w:w="0" w:type="dxa"/>
              <w:bottom w:w="0" w:type="dxa"/>
              <w:right w:w="0" w:type="dxa"/>
            </w:tcMar>
            <w:vAlign w:val="center"/>
          </w:tcPr>
          <w:p>
            <w:pPr>
              <w:pStyle w:val="TableContents"/>
              <w:bidi w:val="0"/>
              <w:spacing w:before="0" w:after="283"/>
              <w:ind w:left="0" w:right="0" w:firstLine="2523"/>
              <w:jc w:val="center"/>
              <w:rPr>
                <w:rFonts w:ascii="Times New Roman" w:hAnsi="Times New Roman"/>
                <w:sz w:val="20"/>
              </w:rPr>
            </w:pPr>
            <w:r>
              <w:rPr>
                <w:rFonts w:ascii="Times New Roman" w:hAnsi="Times New Roman"/>
                <w:b/>
                <w:color w:val="000000"/>
                <w:sz w:val="20"/>
              </w:rPr>
              <w:t>Canton, MA</w:t>
            </w:r>
            <w:r>
              <w:rPr>
                <w:rFonts w:ascii="Times New Roman" w:hAnsi="Times New Roman"/>
                <w:color w:val="000000"/>
                <w:sz w:val="20"/>
              </w:rPr>
              <w:t xml:space="preserve"> </w:t>
            </w:r>
          </w:p>
        </w:tc>
        <w:tc>
          <w:tcPr>
            <w:tcW w:w="3258" w:type="dxa"/>
            <w:tcBorders/>
            <w:tcMar>
              <w:top w:w="0" w:type="dxa"/>
              <w:left w:w="0" w:type="dxa"/>
              <w:bottom w:w="0" w:type="dxa"/>
              <w:right w:w="0" w:type="dxa"/>
            </w:tcMar>
            <w:vAlign w:val="center"/>
          </w:tcPr>
          <w:p>
            <w:pPr>
              <w:pStyle w:val="TableContents"/>
              <w:bidi w:val="0"/>
              <w:spacing w:before="0" w:after="283"/>
              <w:ind w:left="0" w:right="0" w:firstLine="2523"/>
              <w:jc w:val="left"/>
              <w:rPr>
                <w:rFonts w:ascii="Times New Roman" w:hAnsi="Times New Roman"/>
                <w:b/>
                <w:color w:val="000000"/>
                <w:sz w:val="20"/>
              </w:rPr>
            </w:pPr>
            <w:r>
              <w:rPr>
                <w:rFonts w:ascii="Times New Roman" w:hAnsi="Times New Roman"/>
                <w:b/>
                <w:color w:val="000000"/>
                <w:sz w:val="20"/>
              </w:rPr>
              <w:t>02021</w:t>
            </w:r>
          </w:p>
        </w:tc>
      </w:tr>
      <w:tr>
        <w:trPr/>
        <w:tc>
          <w:tcPr>
            <w:tcW w:w="6947" w:type="dxa"/>
            <w:tcBorders/>
            <w:tcMar>
              <w:top w:w="0" w:type="dxa"/>
              <w:left w:w="0" w:type="dxa"/>
              <w:bottom w:w="0" w:type="dxa"/>
              <w:right w:w="0" w:type="dxa"/>
            </w:tcMar>
            <w:vAlign w:val="center"/>
          </w:tcPr>
          <w:p>
            <w:pPr>
              <w:pStyle w:val="TableContents"/>
              <w:bidi w:val="0"/>
              <w:spacing w:before="0" w:after="283"/>
              <w:ind w:left="0" w:right="0" w:firstLine="2343"/>
              <w:jc w:val="left"/>
              <w:rPr>
                <w:color w:val="000000"/>
              </w:rPr>
            </w:pPr>
            <w:r>
              <w:rPr>
                <w:color w:val="000000"/>
              </w:rPr>
              <w:t>                                    </w:t>
            </w:r>
            <w:r>
              <w:rPr>
                <w:rFonts w:ascii="Times New Roman" w:hAnsi="Times New Roman"/>
                <w:b/>
                <w:color w:val="000000"/>
                <w:sz w:val="16"/>
              </w:rPr>
              <w:t>(Address of principal executive offices)</w:t>
            </w:r>
          </w:p>
        </w:tc>
        <w:tc>
          <w:tcPr>
            <w:tcW w:w="3258" w:type="dxa"/>
            <w:tcBorders/>
            <w:tcMar>
              <w:top w:w="0" w:type="dxa"/>
              <w:left w:w="0" w:type="dxa"/>
              <w:bottom w:w="0" w:type="dxa"/>
              <w:right w:w="0" w:type="dxa"/>
            </w:tcMar>
            <w:vAlign w:val="center"/>
          </w:tcPr>
          <w:p>
            <w:pPr>
              <w:pStyle w:val="TableContents"/>
              <w:bidi w:val="0"/>
              <w:spacing w:before="0" w:after="283"/>
              <w:ind w:left="0" w:right="0" w:firstLine="2343"/>
              <w:jc w:val="left"/>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0"/>
        </w:rPr>
        <w:t>(781) 575-0775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jc w:val="center"/>
        <w:rPr/>
      </w:pPr>
      <w:r>
        <w:rPr/>
        <w:t> </w:t>
      </w:r>
    </w:p>
    <w:p>
      <w:pPr>
        <w:pStyle w:val="TextBody"/>
        <w:bidi w:val="0"/>
        <w:jc w:val="left"/>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ORGO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723" w:type="dxa"/>
        <w:jc w:val="left"/>
        <w:tblInd w:w="0" w:type="dxa"/>
        <w:tblLayout w:type="fixed"/>
        <w:tblCellMar>
          <w:top w:w="28" w:type="dxa"/>
          <w:left w:w="28" w:type="dxa"/>
          <w:bottom w:w="28" w:type="dxa"/>
          <w:right w:w="28" w:type="dxa"/>
        </w:tblCellMar>
      </w:tblPr>
      <w:tblGrid>
        <w:gridCol w:w="1666"/>
        <w:gridCol w:w="493"/>
        <w:gridCol w:w="2203"/>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493" w:type="dxa"/>
            <w:tcBorders/>
            <w:tcMar>
              <w:top w:w="0" w:type="dxa"/>
              <w:left w:w="0" w:type="dxa"/>
              <w:bottom w:w="0" w:type="dxa"/>
              <w:right w:w="0" w:type="dxa"/>
            </w:tcMar>
            <w:vAlign w:val="center"/>
          </w:tcPr>
          <w:p>
            <w:pPr>
              <w:pStyle w:val="TableContents"/>
              <w:bidi w:val="0"/>
              <w:spacing w:before="0" w:after="283"/>
              <w:ind w:left="0" w:right="0" w:firstLine="177"/>
              <w:jc w:val="left"/>
              <w:rPr>
                <w:color w:val="000000"/>
              </w:rPr>
            </w:pPr>
            <w:r>
              <w:rPr>
                <w:color w:val="000000"/>
              </w:rPr>
              <w:t>☐</w:t>
            </w:r>
          </w:p>
        </w:tc>
        <w:tc>
          <w:tcPr>
            <w:tcW w:w="220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220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493" w:type="dxa"/>
            <w:tcBorders/>
            <w:tcMar>
              <w:top w:w="0" w:type="dxa"/>
              <w:left w:w="0" w:type="dxa"/>
              <w:bottom w:w="0" w:type="dxa"/>
              <w:right w:w="0" w:type="dxa"/>
            </w:tcMar>
            <w:vAlign w:val="center"/>
          </w:tcPr>
          <w:p>
            <w:pPr>
              <w:pStyle w:val="TableContents"/>
              <w:bidi w:val="0"/>
              <w:spacing w:before="0" w:after="283"/>
              <w:ind w:left="0" w:right="0" w:firstLine="177"/>
              <w:jc w:val="left"/>
              <w:rPr>
                <w:color w:val="000000"/>
              </w:rPr>
            </w:pPr>
            <w:r>
              <w:rPr>
                <w:color w:val="000000"/>
              </w:rPr>
              <w:t>☐</w:t>
            </w:r>
          </w:p>
        </w:tc>
        <w:tc>
          <w:tcPr>
            <w:tcW w:w="220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20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c>
          <w:tcPr>
            <w:tcW w:w="220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number of shares of the registrant’s Class A common stock outstanding as of April 30, 2026 was 128,674,548.</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Organogenesis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240" w:after="283"/>
        <w:jc w:val="center"/>
        <w:rPr>
          <w:rFonts w:ascii="Times New Roman" w:hAnsi="Times New Roman"/>
          <w:sz w:val="20"/>
        </w:rPr>
      </w:pPr>
      <w:bookmarkStart w:id="2" w:name="toc_page"/>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8"/>
        <w:gridCol w:w="8555"/>
        <w:gridCol w:w="752"/>
      </w:tblGrid>
      <w:tr>
        <w:trPr/>
        <w:tc>
          <w:tcPr>
            <w:tcW w:w="898" w:type="dxa"/>
            <w:tcBorders/>
            <w:vAlign w:val="center"/>
          </w:tcPr>
          <w:p>
            <w:pPr>
              <w:pStyle w:val="TableContents"/>
              <w:bidi w:val="0"/>
              <w:spacing w:before="0" w:after="283"/>
              <w:jc w:val="left"/>
              <w:rPr>
                <w:sz w:val="4"/>
                <w:szCs w:val="4"/>
              </w:rPr>
            </w:pPr>
            <w:r>
              <w:rPr>
                <w:sz w:val="4"/>
                <w:szCs w:val="4"/>
              </w:rPr>
            </w:r>
          </w:p>
        </w:tc>
        <w:tc>
          <w:tcPr>
            <w:tcW w:w="855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c>
          <w:tcPr>
            <w:tcW w:w="75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financial_information">
              <w:r>
                <w:rPr>
                  <w:rStyle w:val="InternetLink"/>
                  <w:rFonts w:ascii="Times New Roman" w:hAnsi="Times New Roman"/>
                  <w:color w:val="0000FF"/>
                  <w:sz w:val="20"/>
                  <w:u w:val="single"/>
                </w:rPr>
                <w:t>PART I. FINANCIAL INFORMATION</w:t>
              </w:r>
            </w:hyperlink>
            <w:r>
              <w:rPr>
                <w:rFonts w:ascii="Times New Roman" w:hAnsi="Times New Roman"/>
                <w:color w:val="000000"/>
                <w:sz w:val="20"/>
              </w:rPr>
              <w:t xml:space="preserve">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1.</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1_unaudited_consolidated_financial_">
              <w:r>
                <w:rPr>
                  <w:rStyle w:val="InternetLink"/>
                  <w:rFonts w:ascii="Times New Roman" w:hAnsi="Times New Roman"/>
                  <w:color w:val="0000FF"/>
                  <w:sz w:val="20"/>
                  <w:u w:val="single"/>
                </w:rPr>
                <w:t>Unaudited Condensed Consolidated</w:t>
              </w:r>
            </w:hyperlink>
            <w:hyperlink w:anchor="item_1_unaudited_consolidated_financial_">
              <w:r>
                <w:rPr>
                  <w:rStyle w:val="InternetLink"/>
                  <w:rFonts w:ascii="Times New Roman" w:hAnsi="Times New Roman"/>
                  <w:color w:val="0000FF"/>
                  <w:sz w:val="24"/>
                  <w:u w:val="single"/>
                </w:rPr>
                <w:t xml:space="preserve"> </w:t>
              </w:r>
            </w:hyperlink>
            <w:hyperlink w:anchor="item_1_unaudited_consolidated_financial_">
              <w:r>
                <w:rPr>
                  <w:rStyle w:val="InternetLink"/>
                  <w:rFonts w:ascii="Times New Roman" w:hAnsi="Times New Roman"/>
                  <w:color w:val="0000FF"/>
                  <w:sz w:val="20"/>
                  <w:u w:val="single"/>
                </w:rPr>
                <w:t>Financial Statements</w:t>
              </w:r>
            </w:hyperlink>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consolidated_statements_operations">
              <w:r>
                <w:rPr>
                  <w:rStyle w:val="InternetLink"/>
                  <w:rFonts w:ascii="Times New Roman" w:hAnsi="Times New Roman"/>
                  <w:color w:val="0000FF"/>
                  <w:sz w:val="20"/>
                  <w:u w:val="single"/>
                </w:rPr>
                <w:t>Condensed Consolidated Statements of Operations and Comprehensive Loss</w:t>
              </w:r>
            </w:hyperlink>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consolidated_statements_redeemable_commo">
              <w:r>
                <w:rPr>
                  <w:rStyle w:val="InternetLink"/>
                  <w:rFonts w:ascii="Times New Roman" w:hAnsi="Times New Roman"/>
                  <w:color w:val="0000FF"/>
                  <w:sz w:val="20"/>
                  <w:u w:val="single"/>
                </w:rPr>
                <w:t>Condensed Consolidated Statements of Redeemable Convertible Preferred Stock and Stockholders’ Equity</w:t>
              </w:r>
            </w:hyperlink>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notes_to_unaudited_consolidated_financia">
              <w:r>
                <w:rPr>
                  <w:rStyle w:val="InternetLink"/>
                  <w:rFonts w:ascii="Times New Roman" w:hAnsi="Times New Roman"/>
                  <w:color w:val="0000FF"/>
                  <w:sz w:val="20"/>
                  <w:u w:val="single"/>
                </w:rPr>
                <w:t>Notes to Condensed Consolidated Financial Statements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2.</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17</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3.</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4.</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4_controls_procedures">
              <w:r>
                <w:rPr>
                  <w:rStyle w:val="InternetLink"/>
                  <w:rFonts w:ascii="Times New Roman" w:hAnsi="Times New Roman"/>
                  <w:color w:val="0000FF"/>
                  <w:sz w:val="20"/>
                  <w:u w:val="single"/>
                </w:rPr>
                <w:t>Controls and Procedures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r_information">
              <w:r>
                <w:rPr>
                  <w:rStyle w:val="InternetLink"/>
                  <w:rFonts w:ascii="Times New Roman" w:hAnsi="Times New Roman"/>
                  <w:color w:val="0000FF"/>
                  <w:sz w:val="20"/>
                  <w:u w:val="single"/>
                </w:rPr>
                <w:t>PART II. OTHER INFORMATION</w:t>
              </w:r>
            </w:hyperlink>
            <w:r>
              <w:rPr>
                <w:rFonts w:ascii="Times New Roman" w:hAnsi="Times New Roman"/>
                <w:color w:val="000000"/>
                <w:sz w:val="20"/>
              </w:rPr>
              <w:t xml:space="preserve">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1.</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1_legal_proceedings">
              <w:r>
                <w:rPr>
                  <w:rStyle w:val="InternetLink"/>
                  <w:rFonts w:ascii="Times New Roman" w:hAnsi="Times New Roman"/>
                  <w:color w:val="0000FF"/>
                  <w:sz w:val="20"/>
                  <w:u w:val="single"/>
                </w:rPr>
                <w:t>Legal Proceedings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1A.</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1a_risk_factors">
              <w:r>
                <w:rPr>
                  <w:rStyle w:val="InternetLink"/>
                  <w:rFonts w:ascii="Times New Roman" w:hAnsi="Times New Roman"/>
                  <w:color w:val="0000FF"/>
                  <w:sz w:val="20"/>
                  <w:u w:val="single"/>
                </w:rPr>
                <w:t>Risk Factors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2.</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3.</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4.</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4_mine_safety_disclosures">
              <w:r>
                <w:rPr>
                  <w:rStyle w:val="InternetLink"/>
                  <w:rFonts w:ascii="Times New Roman" w:hAnsi="Times New Roman"/>
                  <w:color w:val="0000FF"/>
                  <w:sz w:val="20"/>
                  <w:u w:val="single"/>
                </w:rPr>
                <w:t>Mine Safety Disclosures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5.</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5_or_information">
              <w:r>
                <w:rPr>
                  <w:rStyle w:val="InternetLink"/>
                  <w:rFonts w:ascii="Times New Roman" w:hAnsi="Times New Roman"/>
                  <w:color w:val="0000FF"/>
                  <w:sz w:val="20"/>
                  <w:u w:val="single"/>
                </w:rPr>
                <w:t>Other Information</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6.</w:t>
            </w:r>
          </w:p>
        </w:tc>
        <w:tc>
          <w:tcPr>
            <w:tcW w:w="8555"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6_exhibits">
              <w:r>
                <w:rPr>
                  <w:rStyle w:val="InternetLink"/>
                  <w:rFonts w:ascii="Times New Roman" w:hAnsi="Times New Roman"/>
                  <w:color w:val="0000FF"/>
                  <w:sz w:val="20"/>
                  <w:u w:val="single"/>
                </w:rPr>
                <w:t>Exhibits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r>
              <w:rPr>
                <w:rFonts w:ascii="Times New Roman" w:hAnsi="Times New Roman"/>
                <w:color w:val="000000"/>
                <w:sz w:val="20"/>
              </w:rPr>
              <w:t xml:space="preserve"> </w:t>
            </w:r>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(this “Form 10-Q”) contains forward-looking statements. These statements may relate to, but are not limited to, expectations of our future results of operations, business strategies and operations, financing plans, potential growth opportunities, clinical development and commercialization of our product candidates, potential market opportunities and the effects of competition, as well as assumptions relating to the foregoing.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“may,” “will,” “should,” “could,” “expect,” “plan,” “anticipate,” “believe,” “estimate,” “predict,” “intend,” “potential,” “might,” “would,” “continue” or the negative of these terms or other comparable terminology.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and in “Part I, Item 1A—Risk Factors” in our Annual Report on Form 10-K for the year ended December 31, 2025.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U.S. Securities and Exchange Commission (the “SEC”) after the date of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used herein, except as otherwise indicated by context, references to “we,” “us,” “our,” “the Company,” “Organogenesis” and “ORGO” will refer to Organogenesis Holdings Inc. and its subsidiaries.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 w:name="part_ifinancial_information"/>
      <w:bookmarkEnd w:id="3"/>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jc w:val="left"/>
        <w:rPr>
          <w:rFonts w:ascii="Times New Roman" w:hAnsi="Times New Roman"/>
          <w:sz w:val="20"/>
        </w:rPr>
      </w:pPr>
      <w:bookmarkStart w:id="4" w:name="item_1_unaudited_consolidated_financial_"/>
      <w:bookmarkEnd w:id="4"/>
      <w:r>
        <w:rPr>
          <w:rFonts w:ascii="Times New Roman" w:hAnsi="Times New Roman"/>
          <w:b/>
          <w:color w:val="000000"/>
          <w:sz w:val="20"/>
        </w:rPr>
        <w:t>Item 1.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ORGANOGENESIS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99"/>
        <w:gridCol w:w="546"/>
        <w:gridCol w:w="196"/>
        <w:gridCol w:w="691"/>
        <w:gridCol w:w="166"/>
        <w:gridCol w:w="146"/>
        <w:gridCol w:w="209"/>
        <w:gridCol w:w="739"/>
        <w:gridCol w:w="613"/>
      </w:tblGrid>
      <w:tr>
        <w:trPr/>
        <w:tc>
          <w:tcPr>
            <w:tcW w:w="689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93,679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217,451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 held for sale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362,188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103,711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55,749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598,730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Convertible Preferred Stock, and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finance lease obligations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obligations - related party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obligations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49,533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100,124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lease obligations, net of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obligations, net of current portion - related party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obligations, net of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164,812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A redeemable convertible preferred stock, $0.0001</w:t>
            </w:r>
            <w:r>
              <w:rPr>
                <w:rFonts w:ascii="Times New Roman" w:hAnsi="Times New Roman"/>
                <w:color w:val="000000"/>
                <w:sz w:val="20"/>
              </w:rPr>
              <w:t> </w:t>
            </w:r>
            <w:r>
              <w:rPr>
                <w:rFonts w:ascii="Times New Roman" w:hAnsi="Times New Roman"/>
                <w:color w:val="000000"/>
                <w:sz w:val="16"/>
              </w:rPr>
              <w:t>par value; 130,000</w:t>
            </w:r>
            <w:r>
              <w:rPr>
                <w:rFonts w:ascii="Times New Roman" w:hAnsi="Times New Roman"/>
                <w:color w:val="000000"/>
                <w:sz w:val="20"/>
              </w:rPr>
              <w:t> </w:t>
            </w:r>
            <w:r>
              <w:rPr>
                <w:rFonts w:ascii="Times New Roman" w:hAnsi="Times New Roman"/>
                <w:color w:val="000000"/>
                <w:sz w:val="16"/>
              </w:rPr>
              <w:t>shares authorized, issued and outstanding at March 31, 2026 and December 31, 2025; liquidation preference of $145,061</w:t>
            </w:r>
            <w:r>
              <w:rPr>
                <w:rFonts w:ascii="Times New Roman" w:hAnsi="Times New Roman"/>
                <w:color w:val="000000"/>
                <w:sz w:val="20"/>
              </w:rPr>
              <w:t> </w:t>
            </w:r>
            <w:r>
              <w:rPr>
                <w:rFonts w:ascii="Times New Roman" w:hAnsi="Times New Roman"/>
                <w:color w:val="000000"/>
                <w:sz w:val="16"/>
              </w:rPr>
              <w:t>and $142,217</w:t>
            </w:r>
            <w:r>
              <w:rPr>
                <w:rFonts w:ascii="Times New Roman" w:hAnsi="Times New Roman"/>
                <w:color w:val="000000"/>
                <w:sz w:val="20"/>
              </w:rPr>
              <w:t> </w:t>
            </w:r>
            <w:r>
              <w:rPr>
                <w:rFonts w:ascii="Times New Roman" w:hAnsi="Times New Roman"/>
                <w:color w:val="000000"/>
                <w:sz w:val="16"/>
              </w:rPr>
              <w:t>at March 31,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133,789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870,000</w:t>
            </w:r>
            <w:r>
              <w:rPr>
                <w:rFonts w:ascii="Times New Roman" w:hAnsi="Times New Roman"/>
                <w:color w:val="000000"/>
                <w:sz w:val="20"/>
              </w:rPr>
              <w:t> </w:t>
            </w:r>
            <w:r>
              <w:rPr>
                <w:rFonts w:ascii="Times New Roman" w:hAnsi="Times New Roman"/>
                <w:color w:val="000000"/>
                <w:sz w:val="16"/>
              </w:rPr>
              <w:t>shares authorized; none issued or outstanding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400,000,000</w:t>
            </w:r>
            <w:r>
              <w:rPr>
                <w:rFonts w:ascii="Times New Roman" w:hAnsi="Times New Roman"/>
                <w:color w:val="000000"/>
                <w:sz w:val="20"/>
              </w:rPr>
              <w:t> </w:t>
            </w:r>
            <w:r>
              <w:rPr>
                <w:rFonts w:ascii="Times New Roman" w:hAnsi="Times New Roman"/>
                <w:color w:val="000000"/>
                <w:sz w:val="16"/>
              </w:rPr>
              <w:t>shares authorized; 129,403,096</w:t>
            </w:r>
            <w:r>
              <w:rPr>
                <w:rFonts w:ascii="Times New Roman" w:hAnsi="Times New Roman"/>
                <w:color w:val="000000"/>
                <w:sz w:val="20"/>
              </w:rPr>
              <w:t> </w:t>
            </w:r>
            <w:r>
              <w:rPr>
                <w:rFonts w:ascii="Times New Roman" w:hAnsi="Times New Roman"/>
                <w:color w:val="000000"/>
                <w:sz w:val="16"/>
              </w:rPr>
              <w:t>and 127,680,424</w:t>
            </w:r>
            <w:r>
              <w:rPr>
                <w:rFonts w:ascii="Times New Roman" w:hAnsi="Times New Roman"/>
                <w:color w:val="000000"/>
                <w:sz w:val="20"/>
              </w:rPr>
              <w:t> </w:t>
            </w:r>
            <w:r>
              <w:rPr>
                <w:rFonts w:ascii="Times New Roman" w:hAnsi="Times New Roman"/>
                <w:color w:val="000000"/>
                <w:sz w:val="16"/>
              </w:rPr>
              <w:t>shares issued; 128,674,548</w:t>
            </w:r>
            <w:r>
              <w:rPr>
                <w:rFonts w:ascii="Times New Roman" w:hAnsi="Times New Roman"/>
                <w:color w:val="000000"/>
                <w:sz w:val="20"/>
              </w:rPr>
              <w:t> </w:t>
            </w:r>
            <w:r>
              <w:rPr>
                <w:rFonts w:ascii="Times New Roman" w:hAnsi="Times New Roman"/>
                <w:color w:val="000000"/>
                <w:sz w:val="16"/>
              </w:rPr>
              <w:t>and 126,951,876</w:t>
            </w:r>
            <w:r>
              <w:rPr>
                <w:rFonts w:ascii="Times New Roman" w:hAnsi="Times New Roman"/>
                <w:color w:val="000000"/>
                <w:sz w:val="20"/>
              </w:rPr>
              <w:t> </w:t>
            </w:r>
            <w:r>
              <w:rPr>
                <w:rFonts w:ascii="Times New Roman" w:hAnsi="Times New Roman"/>
                <w:color w:val="000000"/>
                <w:sz w:val="16"/>
              </w:rPr>
              <w:t>shares outstanding at March 31,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303,194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300,129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redeemable convertible preferred stock, and 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598,730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ORGANOGENESIS HOLDINGS INC.</w:t>
      </w:r>
    </w:p>
    <w:p>
      <w:pPr>
        <w:pStyle w:val="TextBody"/>
        <w:bidi w:val="0"/>
        <w:jc w:val="center"/>
        <w:rPr>
          <w:rFonts w:ascii="Times New Roman" w:hAnsi="Times New Roman"/>
          <w:b/>
          <w:color w:val="000000"/>
          <w:sz w:val="20"/>
        </w:rPr>
      </w:pPr>
      <w:bookmarkStart w:id="6" w:name="consolidated_statements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8744" w:type="dxa"/>
        <w:jc w:val="left"/>
        <w:tblInd w:w="0" w:type="dxa"/>
        <w:tblLayout w:type="fixed"/>
        <w:tblCellMar>
          <w:top w:w="28" w:type="dxa"/>
          <w:left w:w="28" w:type="dxa"/>
          <w:bottom w:w="28" w:type="dxa"/>
          <w:right w:w="28" w:type="dxa"/>
        </w:tblCellMar>
      </w:tblPr>
      <w:tblGrid>
        <w:gridCol w:w="5291"/>
        <w:gridCol w:w="146"/>
        <w:gridCol w:w="196"/>
        <w:gridCol w:w="1006"/>
        <w:gridCol w:w="166"/>
        <w:gridCol w:w="146"/>
        <w:gridCol w:w="196"/>
        <w:gridCol w:w="1006"/>
        <w:gridCol w:w="591"/>
      </w:tblGrid>
      <w:tr>
        <w:trPr/>
        <w:tc>
          <w:tcPr>
            <w:tcW w:w="5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Write-down to fair value for asset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Accretion of redeemable convertible preferred stock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Cumulative dividend on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127,797,013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126,295,642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ORGANOGENESIS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s_redeemable_commo"/>
      <w:bookmarkEnd w:id="7"/>
      <w:r>
        <w:rPr>
          <w:rFonts w:ascii="Times New Roman" w:hAnsi="Times New Roman"/>
          <w:b/>
          <w:color w:val="000000"/>
          <w:sz w:val="20"/>
        </w:rPr>
        <w:t>CONDENSED CONSOLIDATED STATEMENTS OF REDEEMABLE CONVERTIBLE PREFERRED STOCK AND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pPr>
      <w:r>
        <w:rPr/>
        <w:t> </w:t>
      </w:r>
    </w:p>
    <w:tbl>
      <w:tblPr>
        <w:tblW w:w="10373" w:type="dxa"/>
        <w:jc w:val="left"/>
        <w:tblInd w:w="0" w:type="dxa"/>
        <w:tblLayout w:type="fixed"/>
        <w:tblCellMar>
          <w:top w:w="28" w:type="dxa"/>
          <w:left w:w="28" w:type="dxa"/>
          <w:bottom w:w="28" w:type="dxa"/>
          <w:right w:w="28" w:type="dxa"/>
        </w:tblCellMar>
      </w:tblPr>
      <w:tblGrid>
        <w:gridCol w:w="1081"/>
        <w:gridCol w:w="146"/>
        <w:gridCol w:w="691"/>
        <w:gridCol w:w="146"/>
        <w:gridCol w:w="146"/>
        <w:gridCol w:w="196"/>
        <w:gridCol w:w="691"/>
        <w:gridCol w:w="146"/>
        <w:gridCol w:w="146"/>
        <w:gridCol w:w="146"/>
        <w:gridCol w:w="146"/>
        <w:gridCol w:w="1006"/>
        <w:gridCol w:w="146"/>
        <w:gridCol w:w="146"/>
        <w:gridCol w:w="249"/>
        <w:gridCol w:w="442"/>
        <w:gridCol w:w="146"/>
        <w:gridCol w:w="146"/>
        <w:gridCol w:w="196"/>
        <w:gridCol w:w="691"/>
        <w:gridCol w:w="166"/>
        <w:gridCol w:w="196"/>
        <w:gridCol w:w="346"/>
        <w:gridCol w:w="146"/>
        <w:gridCol w:w="240"/>
        <w:gridCol w:w="811"/>
        <w:gridCol w:w="166"/>
        <w:gridCol w:w="146"/>
        <w:gridCol w:w="242"/>
        <w:gridCol w:w="854"/>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126,951,876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300,129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to redemption value and cumulative dividends on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RSUs and PSUs, net of shares surrendered to pay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1,722,672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128,674,548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76"/>
        <w:gridCol w:w="149"/>
        <w:gridCol w:w="708"/>
        <w:gridCol w:w="149"/>
        <w:gridCol w:w="149"/>
        <w:gridCol w:w="201"/>
        <w:gridCol w:w="708"/>
        <w:gridCol w:w="146"/>
        <w:gridCol w:w="146"/>
        <w:gridCol w:w="146"/>
        <w:gridCol w:w="146"/>
        <w:gridCol w:w="1006"/>
        <w:gridCol w:w="146"/>
        <w:gridCol w:w="146"/>
        <w:gridCol w:w="249"/>
        <w:gridCol w:w="442"/>
        <w:gridCol w:w="146"/>
        <w:gridCol w:w="146"/>
        <w:gridCol w:w="196"/>
        <w:gridCol w:w="691"/>
        <w:gridCol w:w="166"/>
        <w:gridCol w:w="146"/>
        <w:gridCol w:w="240"/>
        <w:gridCol w:w="811"/>
        <w:gridCol w:w="166"/>
        <w:gridCol w:w="146"/>
        <w:gridCol w:w="247"/>
        <w:gridCol w:w="874"/>
        <w:gridCol w:w="217"/>
      </w:tblGrid>
      <w:tr>
        <w:trPr/>
        <w:tc>
          <w:tcPr>
            <w:tcW w:w="13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125,730,236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262,897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to redemption value and cumulative dividends on redeemable convertible preferred stock</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RSUs, net of shares surrendered to pay taxes</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126,853,536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242,902</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ORGANOGENESIS HOLDINGS INC.</w:t>
      </w:r>
    </w:p>
    <w:p>
      <w:pPr>
        <w:pStyle w:val="TextBody"/>
        <w:bidi w:val="0"/>
        <w:jc w:val="center"/>
        <w:rPr>
          <w:rFonts w:ascii="Times New Roman" w:hAnsi="Times New Roman"/>
          <w:sz w:val="20"/>
        </w:rPr>
      </w:pPr>
      <w:bookmarkStart w:id="8" w:name="consolidated_statements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62"/>
        <w:gridCol w:w="146"/>
        <w:gridCol w:w="196"/>
        <w:gridCol w:w="691"/>
        <w:gridCol w:w="166"/>
        <w:gridCol w:w="146"/>
        <w:gridCol w:w="196"/>
        <w:gridCol w:w="691"/>
        <w:gridCol w:w="611"/>
      </w:tblGrid>
      <w:tr>
        <w:trPr/>
        <w:tc>
          <w:tcPr>
            <w:tcW w:w="7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Reduction in the carrying value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(adjustment) recorded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 for excess and obsolete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Write-down to fair value for asset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Landlord assets under construction, net of tenant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Payments of withholding taxes in connection with RSUs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repayments of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110,534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to redemption value and cumulative dividends on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purchases of property and equipment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through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Landlord asset additions included in accounts payable and accrued expenses and other current liabilities, net of tenant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through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ORGANOGENESIS HOLDINGS INC.</w:t>
      </w:r>
    </w:p>
    <w:p>
      <w:pPr>
        <w:pStyle w:val="TextBody"/>
        <w:bidi w:val="0"/>
        <w:spacing w:before="240" w:after="283"/>
        <w:jc w:val="center"/>
        <w:rPr>
          <w:rFonts w:ascii="Times New Roman" w:hAnsi="Times New Roman"/>
          <w:sz w:val="20"/>
        </w:rPr>
      </w:pPr>
      <w:bookmarkStart w:id="9" w:name="notes_to_unaudited_consolidated_financia"/>
      <w:bookmarkEnd w:id="9"/>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Nature of Business and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Organogenesis Holdings Inc. (“ORGO” or the “Company”) is a leading regenerative medicine and tissue innovations company focused on empowering healing through the development, manufacturing, and sale of product solutions for the advanced wound care, and surgical and sports medicine markets. Several of the existing and pipeline products in the Company’s portfolio have Premarket Application (“PMA”) approval, or Premarket Notification 510(k) clearance from the United States Food and Drug Administration (“FDA”). The Company’s customers include hospitals, wound care centers, government facilities, ambulatory surgery centers (“ASCs”) and physician offices. The Company has one operating and reportable segment. </w:t>
      </w:r>
    </w:p>
    <w:p>
      <w:pPr>
        <w:pStyle w:val="TextBody"/>
        <w:bidi w:val="0"/>
        <w:spacing w:before="120" w:after="283"/>
        <w:jc w:val="left"/>
        <w:rPr>
          <w:rFonts w:ascii="Times New Roman" w:hAnsi="Times New Roman"/>
          <w:sz w:val="20"/>
        </w:rPr>
      </w:pPr>
      <w:r>
        <w:rPr>
          <w:rFonts w:ascii="Times New Roman" w:hAnsi="Times New Roman"/>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by management in accordance with generally accepted accounting principles in the United States (“GAAP”), pursuant to the rules and regulations of the Securities and Exchange Commission (“SEC”) for interim financial statements. The interim condensed consolidated financial statements, in the opinion of management, reflect all adjustments of a normal recurring nature necessary for a fair statement of the results for the interim periods presented.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unaudited condensed consolidated financial statements should be read in conjunction with the audited consolidated financial statements and notes thereto, for the year ended December 31, 2025, included in the Company’s annual report on Form 10-K for the fiscal year ended December 31, 2025, which was filed with the SEC on February 26, 2026 (the “Annual Report”). The results for the three months ended March 31, 2026 are not necessarily indicative of the results to be expected for the year ending December 31, 2026, any other interim periods, or any future years or periods. </w:t>
      </w:r>
    </w:p>
    <w:p>
      <w:pPr>
        <w:pStyle w:val="TextBody"/>
        <w:bidi w:val="0"/>
        <w:spacing w:before="12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the Company’s audited consolidated financial statements as of and for the year ended December 31, 2025, and the notes thereto, which are included in the Annual Report. There have been no material changes to the significant accounting policies previously disclosed in the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unaudited condensed consolidated financial statements include the accounts and results of operations of Organogenesis Holdings Inc. and its wholly-owned subsidiaries.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has had or may have a material impact on its condensed consolidated financial statements or disclosures.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financial statements and the reported results of operations during the reporting periods. In preparing the consolidated financial statements, the estimates and assumptions that management considers to be significant and that present the greatest amount of uncertainty include: recognition and measurement of current and deferred income tax assets and liabilities; and the assessment of recoverability of long-lived assets, including impairment and write-downs. Actual results and outcomes may differ significantly from those estimates and assumptions.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 of credit risk consist of cash and cash equivalents. The Company invests its cash equivalents in highly rated money market funds. Deposits may exceed federally insured limits, and the Company is exposed to credit risk on deposits in the event of default by the financial institutions to the extent account balances exceed the amount insured by the Federal Deposit Insurance Corporation (“FDIC”). However, the Company sweeps cash daily overnight and diversifies among financial institutions to reduce such exposure.</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This standard introduces a practical expedient for the application of the current expected credit loss (“CECL”) model to current accounts receivable and contract assets. ASU 2025-05 is effective for annual periods beginning after December 15, 2025 and interim periods within those annual periods. The Company adopted ASU 2025-05 for the fiscal year and interim period beginning January 1, 2026 and elected the practical expedient. The adoption did not have a material impact on the consolidated financial statements and related disclosures.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This standard requires entities to provide additional disclosure regarding certain expenses presented within the statements of operations, and aims to improve such disclosures and address requests from investors for more detailed information about the types of expenses incurred by public entities. As clarified by ASU 2025-01, the requirements of the guidance are effective for annual periods beginning after December 15, 2026, and interim periods within fiscal years beginning after December 15, 2027, with early adoption permitted. The Company is currently evaluating the impact of the adoption of ASU 2024-03 on its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This standard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ASU 2025-06 is effective for annual periods beginning after December 15, 2027 and interim periods within those annual periods, with early adoption permitted. The Company is currently evaluating the impact of adopting ASU 2025-06 on its consolidated financial statements and related disclosures.</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This standard provides authoritative guidance for recognition, measurement, and presentation of government grants from a government to a business entity. The standard is effective for annual periods beginning after December 15, 2028, and interim periods within those annual periods, with early adoption permitted. The Company is currently evaluating the impact of the adoption of ASU 2025-10 on its consolidated financial statements and related disclosures.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April 2026, the FASB issued ASU 2026-01, </w:t>
      </w:r>
      <w:r>
        <w:rPr>
          <w:rFonts w:ascii="Times New Roman" w:hAnsi="Times New Roman"/>
          <w:i/>
          <w:color w:val="000000"/>
          <w:sz w:val="20"/>
        </w:rPr>
        <w:t xml:space="preserve">Equity (Topic 505): Initial Measurement of Paid-in-Kind Dividends on Equity-Classified Preferred Stock Entities. </w:t>
      </w:r>
      <w:r>
        <w:rPr>
          <w:rFonts w:ascii="Times New Roman" w:hAnsi="Times New Roman"/>
          <w:color w:val="000000"/>
          <w:sz w:val="20"/>
        </w:rPr>
        <w:t>This standard requires that paid-in-kind (“PIK”) dividends on equity-classified preferred stock be initially measured on the basis of the PIK dividend rate stated in the preferred stock agreement. This guidance applies to preferred stock classified as equity, including preferred stock that is classified as temporary equity. The standard is effective for annual periods beginning after December 15, 2026, and interim periods within those annual periods, with early adoption permitted. The Company is currently evaluating the impact of the adoption of ASU 2026-01 on its consolidated financial statements and related disclosures.</w:t>
      </w:r>
    </w:p>
    <w:p>
      <w:pPr>
        <w:pStyle w:val="TextBody"/>
        <w:bidi w:val="0"/>
        <w:jc w:val="left"/>
        <w:rPr>
          <w:rFonts w:ascii="Times New Roman" w:hAnsi="Times New Roman"/>
          <w:b/>
          <w:color w:val="000000"/>
          <w:sz w:val="20"/>
        </w:rPr>
      </w:pPr>
      <w:r>
        <w:rPr>
          <w:rFonts w:ascii="Times New Roman" w:hAnsi="Times New Roman"/>
          <w:b/>
          <w:color w:val="000000"/>
          <w:sz w:val="20"/>
        </w:rPr>
        <w:t>3. Net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net product revenue by product category: </w:t>
      </w:r>
    </w:p>
    <w:p>
      <w:pPr>
        <w:pStyle w:val="TextBody"/>
        <w:bidi w:val="0"/>
        <w:spacing w:before="120" w:after="283"/>
        <w:jc w:val="left"/>
        <w:rPr/>
      </w:pPr>
      <w:r>
        <w:rPr/>
        <w:t> </w:t>
      </w:r>
    </w:p>
    <w:tbl>
      <w:tblPr>
        <w:tblW w:w="5748" w:type="dxa"/>
        <w:jc w:val="left"/>
        <w:tblInd w:w="0" w:type="dxa"/>
        <w:tblLayout w:type="fixed"/>
        <w:tblCellMar>
          <w:top w:w="28" w:type="dxa"/>
          <w:left w:w="28" w:type="dxa"/>
          <w:bottom w:w="28" w:type="dxa"/>
          <w:right w:w="28" w:type="dxa"/>
        </w:tblCellMar>
      </w:tblPr>
      <w:tblGrid>
        <w:gridCol w:w="2421"/>
        <w:gridCol w:w="146"/>
        <w:gridCol w:w="285"/>
        <w:gridCol w:w="913"/>
        <w:gridCol w:w="197"/>
        <w:gridCol w:w="197"/>
        <w:gridCol w:w="285"/>
        <w:gridCol w:w="913"/>
        <w:gridCol w:w="391"/>
      </w:tblGrid>
      <w:tr>
        <w:trPr/>
        <w:tc>
          <w:tcPr>
            <w:tcW w:w="2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Wound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Surgical &amp; Sports Medicine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all periods presented, net product revenue generated outside the United States represented less than 1% of total net product revenue.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4. Accounts Receivable, Net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Accounts receivable consisted of the following</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pPr>
      <w:r>
        <w:rPr/>
        <w:t> </w:t>
      </w:r>
    </w:p>
    <w:tbl>
      <w:tblPr>
        <w:tblW w:w="5817" w:type="dxa"/>
        <w:jc w:val="left"/>
        <w:tblInd w:w="0" w:type="dxa"/>
        <w:tblLayout w:type="fixed"/>
        <w:tblCellMar>
          <w:top w:w="28" w:type="dxa"/>
          <w:left w:w="28" w:type="dxa"/>
          <w:bottom w:w="28" w:type="dxa"/>
          <w:right w:w="28" w:type="dxa"/>
        </w:tblCellMar>
      </w:tblPr>
      <w:tblGrid>
        <w:gridCol w:w="2896"/>
        <w:gridCol w:w="146"/>
        <w:gridCol w:w="211"/>
        <w:gridCol w:w="781"/>
        <w:gridCol w:w="166"/>
        <w:gridCol w:w="146"/>
        <w:gridCol w:w="268"/>
        <w:gridCol w:w="992"/>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 product return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allowance for credit losses is comprised of the following: </w:t>
      </w:r>
    </w:p>
    <w:p>
      <w:pPr>
        <w:pStyle w:val="TextBody"/>
        <w:bidi w:val="0"/>
        <w:jc w:val="left"/>
        <w:rPr/>
      </w:pPr>
      <w:r>
        <w:rPr/>
        <w:t> </w:t>
      </w:r>
    </w:p>
    <w:tbl>
      <w:tblPr>
        <w:tblW w:w="5039" w:type="dxa"/>
        <w:jc w:val="left"/>
        <w:tblInd w:w="0" w:type="dxa"/>
        <w:tblLayout w:type="fixed"/>
        <w:tblCellMar>
          <w:top w:w="28" w:type="dxa"/>
          <w:left w:w="28" w:type="dxa"/>
          <w:bottom w:w="28" w:type="dxa"/>
          <w:right w:w="28" w:type="dxa"/>
        </w:tblCellMar>
      </w:tblPr>
      <w:tblGrid>
        <w:gridCol w:w="2641"/>
        <w:gridCol w:w="146"/>
        <w:gridCol w:w="211"/>
        <w:gridCol w:w="676"/>
        <w:gridCol w:w="166"/>
        <w:gridCol w:w="146"/>
        <w:gridCol w:w="211"/>
        <w:gridCol w:w="631"/>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 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net of related reserves for excess and obsolescence, consisted of the following: </w:t>
      </w:r>
    </w:p>
    <w:p>
      <w:pPr>
        <w:pStyle w:val="TextBody"/>
        <w:bidi w:val="0"/>
        <w:jc w:val="left"/>
        <w:rPr/>
      </w:pPr>
      <w:r>
        <w:rPr/>
        <w:t> </w:t>
      </w:r>
    </w:p>
    <w:tbl>
      <w:tblPr>
        <w:tblW w:w="4290" w:type="dxa"/>
        <w:jc w:val="left"/>
        <w:tblInd w:w="0" w:type="dxa"/>
        <w:tblLayout w:type="fixed"/>
        <w:tblCellMar>
          <w:top w:w="28" w:type="dxa"/>
          <w:left w:w="28" w:type="dxa"/>
          <w:bottom w:w="28" w:type="dxa"/>
          <w:right w:w="28" w:type="dxa"/>
        </w:tblCellMar>
      </w:tblPr>
      <w:tblGrid>
        <w:gridCol w:w="1426"/>
        <w:gridCol w:w="146"/>
        <w:gridCol w:w="232"/>
        <w:gridCol w:w="743"/>
        <w:gridCol w:w="146"/>
        <w:gridCol w:w="146"/>
        <w:gridCol w:w="299"/>
        <w:gridCol w:w="961"/>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Asset Held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2025, the Company listed a building for sale, located on the Company’s Canton, Massachusetts campus, and commenced actions to complete the sale within twelve months. Certain events and circumstances, which were beyond the Company’s control, extended the period of time required to sell the asset beyond one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2025, the Company reclassified the building as an asset held for sale and recognized a $6,567 write-down to adjust the carrying value of the building held for sale to its estimated fair market value based on observable market conditions, net of the estimated costs to sell, on the condensed consolidated statements of operations and comprehensive loss. The Company recorded additional write-downs during 2025 of $4,608 due to changes in the market for this property. Management determined that the planned sale does not represent a strategic shift having a major effect on the Company’s operations and financial results and therefore did not meet the criteria for classification as discontinued operations. The Company assesses the fair value of the asset held for sale at each reporting period until the asset is no longer classified as held for sale. The Company is actively marketing this asset for sale and did not record any further write-down to fair value during the three months ended March 31, 2026.</w:t>
      </w:r>
    </w:p>
    <w:p>
      <w:pPr>
        <w:pStyle w:val="TextBody"/>
        <w:bidi w:val="0"/>
        <w:spacing w:before="120" w:after="283"/>
        <w:jc w:val="left"/>
        <w:rPr/>
      </w:pPr>
      <w:r>
        <w:rPr/>
        <w:t> </w:t>
      </w:r>
    </w:p>
    <w:p>
      <w:pPr>
        <w:pStyle w:val="TextBody"/>
        <w:bidi w:val="0"/>
        <w:spacing w:before="120" w:after="160"/>
        <w:jc w:val="left"/>
        <w:rPr>
          <w:rFonts w:ascii="Times New Roman" w:hAnsi="Times New Roman"/>
          <w:sz w:val="20"/>
        </w:rPr>
      </w:pPr>
      <w:r>
        <w:rPr>
          <w:rFonts w:ascii="Times New Roman" w:hAnsi="Times New Roman"/>
          <w:b/>
          <w:color w:val="000000"/>
          <w:sz w:val="20"/>
        </w:rPr>
        <w:t>7. Long-Lived Assets and Goodwill</w:t>
      </w:r>
      <w:r>
        <w:rPr>
          <w:rFonts w:ascii="Times New Roman" w:hAnsi="Times New Roman"/>
          <w:color w:val="000000"/>
          <w:sz w:val="20"/>
        </w:rPr>
        <w:t xml:space="preserve"> </w:t>
      </w:r>
    </w:p>
    <w:p>
      <w:pPr>
        <w:pStyle w:val="TextBody"/>
        <w:bidi w:val="0"/>
        <w:spacing w:before="80" w:after="160"/>
        <w:jc w:val="left"/>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reviews long-lived assets, excluding goodwill, for impairment whenever events or changes in circumstances indicate that the carrying amount of an asset or asset group may not be recoverable. During the first quarter of 2026, the Company concluded impairment triggers had occurred for its company-wide asset group as a result of a decline in the Company’s market capitalization combined with recent weakened financial performance. The Company performed an impairment review in accordance with ASC 360, Property, Plant and Equipment. The Company did not record any impairment related to this asset group because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carrying value of the asset group is recoverable based on the review. During the first quarter of 2025, the Company did not identify factors that constituted an impairment trigger relating to its company-wide asset group, and accordingly, there was no impairment related to its company-wide asset group. </w:t>
      </w:r>
    </w:p>
    <w:p>
      <w:pPr>
        <w:pStyle w:val="TextBody"/>
        <w:bidi w:val="0"/>
        <w:spacing w:before="80" w:after="160"/>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Goodwill is tested for impairment at least annually (as of December 31), or more frequently if events or circumstances indicate the carrying value may no longer be recoverable. During the first quarter of 2026, the Company identified factors, including a decline in the Company’s market capitalization combined with recent weakened financial performance, that constituted an impairment trigger relating to its goodwill. At March 31, 2026, the Company performed a quantitative analysis, and used its market capitalization to approximate the fair value of the reporting unit. The fair value of the reporting unit exceeded its carrying value at March 31, 2026, and accordingly, the Company did not record any impairment on its goodwill. During the first quarter of 2025, the Company did not identify factors that constituted an impairment trigger relating to its reporting unit and did not record any impairment relating to its goodwill.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Restructuring</w:t>
      </w:r>
    </w:p>
    <w:p>
      <w:pPr>
        <w:pStyle w:val="TextBody"/>
        <w:bidi w:val="0"/>
        <w:spacing w:before="240" w:after="283"/>
        <w:jc w:val="left"/>
        <w:rPr>
          <w:rFonts w:ascii="Times New Roman" w:hAnsi="Times New Roman"/>
          <w:sz w:val="20"/>
        </w:rPr>
      </w:pPr>
      <w:r>
        <w:rPr>
          <w:rFonts w:ascii="Times New Roman" w:hAnsi="Times New Roman"/>
          <w:color w:val="000000"/>
          <w:sz w:val="20"/>
        </w:rPr>
        <w:t>The Company committed to a restructuring plan in March 2026 to restructure its workforce and close its operations in the St. Petersburg, Florida facility to increase productivity and enhance profitability. These restructuring activities reduced the Company’s headcount by 88 employees, or approximately 10% of all employees. The Company incurred a total charge of $8,781 in the three months ended March 31, 2026 in connection with these restructuring activities, primarily consisting of severance and other employee termination benefits of $2,846, and write-down of intangible assets of $4,923 and write-down of inventories of $1,012 related to the facility closure. These charges were included primarily in cost of goods sold and selling, general and administrative expenses (including write-down of intangible assets) in the condensed consolidated statements of operations and comprehensive loss. The Company expects to pay accrued restructuring costs primarily through 2026</w:t>
      </w:r>
      <w:r>
        <w:rPr>
          <w:rFonts w:ascii="Times New Roman" w:hAnsi="Times New Roman"/>
          <w:color w:val="000000"/>
          <w:sz w:val="16"/>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changes in the Company’s accrued restructuring balance, which is included in accrued expenses and other current liabilities in the condensed consolidated balance sheets. The movements in the restructuring liability principally consist of severance payments. </w:t>
        <w:br/>
        <w:t> </w:t>
      </w:r>
    </w:p>
    <w:tbl>
      <w:tblPr>
        <w:tblW w:w="4874" w:type="dxa"/>
        <w:jc w:val="left"/>
        <w:tblInd w:w="0" w:type="dxa"/>
        <w:tblLayout w:type="fixed"/>
        <w:tblCellMar>
          <w:top w:w="28" w:type="dxa"/>
          <w:left w:w="28" w:type="dxa"/>
          <w:bottom w:w="28" w:type="dxa"/>
          <w:right w:w="28" w:type="dxa"/>
        </w:tblCellMar>
      </w:tblPr>
      <w:tblGrid>
        <w:gridCol w:w="3556"/>
        <w:gridCol w:w="146"/>
        <w:gridCol w:w="259"/>
        <w:gridCol w:w="702"/>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Employee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disbursements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Long-Term Debt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2021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the Company, as borrower, its subsidiaries, as guarantors, and Silicon Valley Bank (“SVB”), and the several other lenders thereto (collectively, the “Lenders”) entered into a credit agreement, as amended (the “2021 Credit Agreement”), providing for a term loan facility not to exceed $75,000 (the “Term Loan Facility”) and a revolving credit facility not to exceed $125,000 (the “Revolving Facility” and, together with the Term Loan Facility, the “Facilities”). In November 2024, the Company and the Lenders amended the 2021 Credit Agreement to allow for the issuance of the Convertible Preferred Stock, and to require the repayment of the Term Loan Facility within one business day of such issuance, among other terms. The Company prepaid the Term Loan Facility in November 2024, and amounts borrowed under the Term Loan Facility may not be re-borrowed.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2025, the Company and the Lenders amended the 2021 Credit Agreement to provide that so long as there are no outstanding borrowings under the Revolving Facility, the Consolidated Fixed Charge Coverage Ratio covenant shall not be tested for the fiscal quarter ended June 30, 2025. On October 31, 2025, the 2021 Credit Agreement was further amended (the “October 2025 Amendment”). The October 2025 Amendment reduced the Revolving Facility from $125,000 to $75,000, removed the Consolidated Fixed Charge Coverage Ratio covenant and added a minimum Consolidated Interest Coverage Ratio covenant, tested quarterly, that requires consolidated EBITDA for any period of four consecutive fiscal quarters to equal or exceed 300% of consolidated cash interest expense for such period, and a Consolidated Capital Expenditures covenant, which requires capital expenditures to be less than $50,000 during any 12-month period when loans under the Revolving Facility exceed $50,000. The Company paid an amendment fee of $113 in connection with the October 2025 Amendment.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obligations to the Lenders are secured by substantially all of the Company’s assets, including intellectual property. Capitalized terms used herein and not otherwise defined are defined as set forth in the 2021 Credit Agreement, as amended.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Advances made under the 2021 Credit Agreement were either SOFR Loans or ABR Loans, at the Company’s option. For SOFR Loans, the interest rate was a per annum interest rate equal to the Adjusted Term SOFR plus an Applicable Margin between 2.00% to 3.25% based on the Total Net Leverage Ratio. For ABR Loans, the interest rate was equal to (1) the highest of (a) the Wall Street Journal Prime Rate, (b) the Federal Funds Rate plus 0.50% and (c) the Adjusted Term SOFR rate plus 1.0%, </w:t>
      </w:r>
      <w:r>
        <w:rPr>
          <w:rFonts w:ascii="Times New Roman" w:hAnsi="Times New Roman"/>
          <w:i/>
          <w:color w:val="000000"/>
          <w:sz w:val="20"/>
        </w:rPr>
        <w:t>plus</w:t>
      </w:r>
      <w:r>
        <w:rPr>
          <w:rFonts w:ascii="Times New Roman" w:hAnsi="Times New Roman"/>
          <w:color w:val="000000"/>
          <w:sz w:val="20"/>
        </w:rPr>
        <w:t xml:space="preserve"> (2) an Applicable Margin between 1.00% to 2.25% based on the Total Net Leverage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must pay in arrears, on the first day of each quarter prior to August 6, 2026 (the “Revolving Termination Date”) and on the Revolving Termination Date, a fee for the Company’s non-use of available funds (the “Commitment Fee”). The Commitment Fee rate is between 0.25% to 0.45% based on the Total Net Leverage Ratio. The Company may elect to reduce or terminate the Revolving Facility in its entirety at any time by repaying all outstanding principal and unpaid accrued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2021 Credit Agreement, as amended, the Company is required to comply with certain financial covenants including the Consolidated Total Net Leverage Ratio, Consolidated Interest Coverage Ratio and Consolidated Capital Expenditures, tested quarterly. In addition, the Company is also required to make representations and warranties and comply with certain non-financial covenants that are customary in loan agreements of this type, including restrictions on the payment of dividends, repurchase of stock, incurrence of indebtedness, dispositions and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the Company had no outstanding borrowings under the Revolving Facility, which will expire on August 6, 2026.</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Convertible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changes in the redemption value of the Convertible Preferred Stock, which include accretion of the associated issuance costs and accrual of unpaid dividends using the effective interest method, over the period from the issuance date to the earliest redemption date, November 12, 2031. Any accrued but unpaid dividends will become part of the liquidation preference of the Convertible Preferred Stock, as set forth in the Certificate of Designation. As of March 31, 2026, the Company had not paid any dividends in cash, and all such dividends had been accrued and added to the liquidation preference of the Convertible Preferred Stock. During the three months ended March 31, 2026 and 2025, the Company increased the carrying value of the Convertible Preferred Stock by $3,003 and $2,748, respectively, which resulted in a corresponding decrease to additional paid-in-capital during the same period.</w:t>
      </w:r>
    </w:p>
    <w:p>
      <w:pPr>
        <w:pStyle w:val="TextBody"/>
        <w:bidi w:val="0"/>
        <w:spacing w:before="24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was $3,636 and $3,367 for the three months ended March 31, 2026 and 2025, respectively. The total amount of stock-based compensation expense was included within selling, general and administrative expenses on the condensed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granted 2,298,160 and 1,853,844 time-based restricted stock units to its employees, executives and members of the Board of Directors in the three months ended March 31, 2026 and 2025, respectively. Each restricted stock unit represents the contingent right to receive one share of the Company’s Class A common stock. A majority of the restricted stock units will vest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four equal annual installments. The fair value of the restricted stock units was based on the fair market value of the Company’s stock on the date of grant.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activity of restricted stock units is set forth below:</w:t>
      </w:r>
    </w:p>
    <w:p>
      <w:pPr>
        <w:pStyle w:val="TextBody"/>
        <w:bidi w:val="0"/>
        <w:jc w:val="left"/>
        <w:rPr/>
      </w:pPr>
      <w:r>
        <w:rPr/>
        <w:t> </w:t>
      </w:r>
    </w:p>
    <w:tbl>
      <w:tblPr>
        <w:tblW w:w="6367" w:type="dxa"/>
        <w:jc w:val="left"/>
        <w:tblInd w:w="0" w:type="dxa"/>
        <w:tblLayout w:type="fixed"/>
        <w:tblCellMar>
          <w:top w:w="28" w:type="dxa"/>
          <w:left w:w="28" w:type="dxa"/>
          <w:bottom w:w="28" w:type="dxa"/>
          <w:right w:w="28" w:type="dxa"/>
        </w:tblCellMar>
      </w:tblPr>
      <w:tblGrid>
        <w:gridCol w:w="2701"/>
        <w:gridCol w:w="146"/>
        <w:gridCol w:w="146"/>
        <w:gridCol w:w="991"/>
        <w:gridCol w:w="166"/>
        <w:gridCol w:w="146"/>
        <w:gridCol w:w="523"/>
        <w:gridCol w:w="1157"/>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5,490,262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5,645,730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total unrecognized compensation cost related to unvested restricted stock units expected to vest was $19,087 and the weighted average remaining recognition period for unvested awards was 2.89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Share Units (PSUs)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March 31, 2026 and 2025, the Company granted performance share units (“PSUs”) as part of its stock-based compensation program. The performance targets are measured independently for a three-year period, where each annual tranche is tied to distinct performance metrics established for each applicable year. The annual performance targets are established during the first quarter of the applicable year. The PSUs vest annually based on the achievement of annual revenue growth as set forth in the applicable award agreement. Based on the extent to which the performance goals are achieved, vested shares may range from 0% to 200% of the target award amount. Stock-based compensation expense is recognized from the grant date through the vesting period based on management's estimates of the probability of performance conditions being achieved. If the performance conditions are not met or are not expected to be met, recognized compensation expense associated with the grant will be reversed. The fair value of each PSU granted is the closing stock price on the date of grant. In addition to interim annual targets, the awards include a catch-up provision whereby if, at the end of the three-year period, the Company achieves a certain average annual revenue compounded growth rate, the entire performance share award will vest, regardless of the interim target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activity of PSUs is set forth below:</w:t>
      </w:r>
    </w:p>
    <w:tbl>
      <w:tblPr>
        <w:tblW w:w="6217" w:type="dxa"/>
        <w:jc w:val="left"/>
        <w:tblInd w:w="0" w:type="dxa"/>
        <w:tblLayout w:type="fixed"/>
        <w:tblCellMar>
          <w:top w:w="28" w:type="dxa"/>
          <w:left w:w="28" w:type="dxa"/>
          <w:bottom w:w="28" w:type="dxa"/>
          <w:right w:w="28" w:type="dxa"/>
        </w:tblCellMar>
      </w:tblPr>
      <w:tblGrid>
        <w:gridCol w:w="2701"/>
        <w:gridCol w:w="146"/>
        <w:gridCol w:w="146"/>
        <w:gridCol w:w="841"/>
        <w:gridCol w:w="166"/>
        <w:gridCol w:w="146"/>
        <w:gridCol w:w="523"/>
        <w:gridCol w:w="1157"/>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397,800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Granted at target performance achievement.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total unrecognized compensation cost related to unvested PSUs expected to vest was $1,019 and the weighted average remaining recognition period for unvested awards was 2.4 years.</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stock options granted during the three months ended March 31, 2026 and 2025 were 1,105,565 and 1,558,694,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stock option activity since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57"/>
        <w:gridCol w:w="146"/>
        <w:gridCol w:w="146"/>
        <w:gridCol w:w="1036"/>
        <w:gridCol w:w="166"/>
        <w:gridCol w:w="146"/>
        <w:gridCol w:w="285"/>
        <w:gridCol w:w="631"/>
        <w:gridCol w:w="146"/>
        <w:gridCol w:w="146"/>
        <w:gridCol w:w="267"/>
        <w:gridCol w:w="859"/>
        <w:gridCol w:w="146"/>
        <w:gridCol w:w="146"/>
        <w:gridCol w:w="235"/>
        <w:gridCol w:w="756"/>
        <w:gridCol w:w="391"/>
      </w:tblGrid>
      <w:tr>
        <w:trPr/>
        <w:tc>
          <w:tcPr>
            <w:tcW w:w="4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or expected to vest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13,010,173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aggregate intrinsic value of stock options is calculated as the difference between the exercise price of the stock options and the fair value of the Company’s Class A common stock for those stock options that have exercise prices lower than the fair value of the Company’s Class A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weighted-average grant-date fair value per share of stock options granted during the three months ended March 31, 2026 and 2025 was $2.25 and $1.89, respectively. The total fair value of options vested during the three months ended March 31, 2026 and 2025 was $4,460 and $4,884, respectively.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March 31, 2026, the total unrecognized stock compensation expense related to unvested options was $7,587 and was expected to be recognized over a weighted-average period of 2.72 years.</w:t>
      </w:r>
    </w:p>
    <w:p>
      <w:pPr>
        <w:pStyle w:val="TextBody"/>
        <w:bidi w:val="0"/>
        <w:jc w:val="left"/>
        <w:rPr>
          <w:rFonts w:ascii="Times New Roman" w:hAnsi="Times New Roman"/>
          <w:b/>
          <w:color w:val="000000"/>
          <w:sz w:val="20"/>
        </w:rPr>
      </w:pPr>
      <w:r>
        <w:rPr>
          <w:rFonts w:ascii="Times New Roman" w:hAnsi="Times New Roman"/>
          <w:b/>
          <w:color w:val="000000"/>
          <w:sz w:val="20"/>
        </w:rPr>
        <w:t>12. Loss per Share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computation of basic and diluted EPS attributable to the Class A common stockholders was as follows:</w:t>
      </w:r>
    </w:p>
    <w:tbl>
      <w:tblPr>
        <w:tblW w:w="9774" w:type="dxa"/>
        <w:jc w:val="left"/>
        <w:tblInd w:w="0" w:type="dxa"/>
        <w:tblLayout w:type="fixed"/>
        <w:tblCellMar>
          <w:top w:w="28" w:type="dxa"/>
          <w:left w:w="28" w:type="dxa"/>
          <w:bottom w:w="28" w:type="dxa"/>
          <w:right w:w="28" w:type="dxa"/>
        </w:tblCellMar>
      </w:tblPr>
      <w:tblGrid>
        <w:gridCol w:w="6201"/>
        <w:gridCol w:w="146"/>
        <w:gridCol w:w="211"/>
        <w:gridCol w:w="1141"/>
        <w:gridCol w:w="166"/>
        <w:gridCol w:w="146"/>
        <w:gridCol w:w="211"/>
        <w:gridCol w:w="1141"/>
        <w:gridCol w:w="411"/>
      </w:tblGrid>
      <w:tr>
        <w:trPr/>
        <w:tc>
          <w:tcPr>
            <w:tcW w:w="6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redeemable convertible preferred stock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dividend on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127,797,013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126,295,642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and 2025, outstanding stock-based awards of 19,129,532 and 17,079,075, respectively, were excluded from the diluted EPS calculation as they were anti-dilutive. For the three months ended March 31, 2026 and 2025, 38,257,910 and 25,358,022, shares of common stock, respectively, available upon conversion of Convertible Preferred Stock were excluded from the diluted EPS calculation as they were anti-dilutive.</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13.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leases consist primarily of real estate, equipment, and vehicle leases. </w:t>
      </w:r>
    </w:p>
    <w:p>
      <w:pPr>
        <w:pStyle w:val="TextBody"/>
        <w:bidi w:val="0"/>
        <w:spacing w:before="120" w:after="283"/>
        <w:jc w:val="left"/>
        <w:rPr>
          <w:rFonts w:ascii="Times New Roman" w:hAnsi="Times New Roman"/>
          <w:sz w:val="20"/>
        </w:rPr>
      </w:pPr>
      <w:r>
        <w:rPr>
          <w:rFonts w:ascii="Times New Roman" w:hAnsi="Times New Roman"/>
          <w:color w:val="000000"/>
          <w:sz w:val="20"/>
        </w:rPr>
        <w:t>On January 1, 2013, the Company entered into lease arrangements with 65 Dan Road SPE, LLC, 85 Dan Road Associates, LLC, Dan Road Equity I, LLC and 275 Dan Road SPE, LLC for office and laboratory space in Canton, Massachusetts (the “Related-Party Leases”). 65 Dan Road SPE, LLC, 85 Dan Road Associates, LLC, Dan Road Equity I, LLC and 275 Dan Road SPE, LLC are related parties as the owners of these entities are also directors, former directors and/or stockholders of the Company. In August 2021, the Company purchased the 275 Dan Road property. The remaining three Related-Party Leases were subsequently renewed with various expiration dates through December 31, 2032</w:t>
      </w:r>
      <w:r>
        <w:rPr>
          <w:rFonts w:ascii="Times New Roman" w:hAnsi="Times New Roman"/>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Company entered into a lease for a facility in Smithfield, Rhode Island, comprising manufacturing and office space (the “Smithfield Facility”). The initial lease term is approximately sixteen years. The undiscounted minimum lease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are $102,645, and the Company is entitled to a tenant improvement allowance of up to $18,376 for its planned build out of the manufacturing space. The lease of the office space commenced at lease inception. The build out of the manufacturing space will be completed in two phases. Phase 1 of the build-out was substantially completed and the associated lease component commenced in December 2025. Phase 2 of the build-out is expected to be completed in 2027.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performance is reported in one segment. During 2026, there have been no changes to the Company’s basis of segmentation or in the basis of measurement of segment income (loss).</w:t>
      </w:r>
    </w:p>
    <w:tbl>
      <w:tblPr>
        <w:tblW w:w="6452" w:type="dxa"/>
        <w:jc w:val="left"/>
        <w:tblInd w:w="0" w:type="dxa"/>
        <w:tblLayout w:type="fixed"/>
        <w:tblCellMar>
          <w:top w:w="28" w:type="dxa"/>
          <w:left w:w="28" w:type="dxa"/>
          <w:bottom w:w="28" w:type="dxa"/>
          <w:right w:w="28" w:type="dxa"/>
        </w:tblCellMar>
      </w:tblPr>
      <w:tblGrid>
        <w:gridCol w:w="3086"/>
        <w:gridCol w:w="146"/>
        <w:gridCol w:w="261"/>
        <w:gridCol w:w="911"/>
        <w:gridCol w:w="205"/>
        <w:gridCol w:w="180"/>
        <w:gridCol w:w="261"/>
        <w:gridCol w:w="911"/>
        <w:gridCol w:w="491"/>
      </w:tblGrid>
      <w:tr>
        <w:trPr/>
        <w:tc>
          <w:tcPr>
            <w:tcW w:w="3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(53,156</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Reconciliation of 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(53,156</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Other segment items include: research and development related severance, salary, payroll taxes and benefits, research and development related rent and other facilities expense, research and development related depreciation and amortization, write-down to fair value for asset held for sale, other income, net, and income tax benefit.</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and Manufacturing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the Company entered into a trademark license and manufacturing agreement with Vivex Biologics, Inc. (“Vivex”) to sell its CYGNUS Dual (“Dual”) and CYGNUS Matrix (“Matrix”) products, with the option to license the VIA Matrix (“VIA”) products. In March 2024, the Company exercised the option to license VIA, and accordingly in July 2024, entered into the first amendment to the trademark license and manufacturing agreement (together with the original agreement, the “Vivex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paid an upfront licensing fee to Vivex to sell Dual and Matrix, and also agreed to pay a fixed milestone payment for Dual in the event that its average sales price (“ASP”) is published by certain government agencies for a specified period of time, which the Company determined was probable. Additionally, the Company pays a low double-digit royalty on the Net Sales of Dual and VIA, and a high single-digit royalty on the Net Sales of Matrix, respectively, during the royalty term, as defined in the agreement with Vivex. The royalty term is commensurate with the initial term of the contract and will continue for each subsequent renewal period. The initial term of the agreement expires on December 31, 2026 and can be renewed for up to five additional one-year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$5,000 for the payment of the upfront licensing fee and $5,000 for the payment of the VIA option and milestone within prepaid and other current assets and other assets. These amounts are recognized as expense on a straight-line basis over the estimated life of the arrangement, which the Company determined to be three years, commensurate with the initial term of the contract.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2017, the Company entered into a license agreement with a third party. Under the license agreement, the Company is required to pay royalties based on a percentage of net sales of the licensed product that occur, after December 31, 2017, through the expiration of the underlying patent in October 2026, subject to minimum royalty payment provisions.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total royalty expense of $472 and $5,022 during the three months ended March 31, 2026 and 2025, respectively, within selling, general and administrative expenses on the condensed consolidated statements of operations and comprehensive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conducting its activities, the Company, from time to time, is subject to various claims and also has claims against others. In management’s opinion, the ultimate resolution of such claims would not have a material effect on the financial position, operating results or cash flows of the Company. The Company accrues for these claims when amounts due are probable and estimable.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16.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Lease obligations to affiliates, purchase of assets under a finance lease with an affiliate, and renewal of leases with affiliates are further described in Note 13, </w:t>
      </w:r>
      <w:r>
        <w:rPr>
          <w:rFonts w:ascii="Times New Roman" w:hAnsi="Times New Roman"/>
          <w:i/>
          <w:color w:val="000000"/>
          <w:sz w:val="20"/>
        </w:rPr>
        <w:t>Leases</w:t>
      </w:r>
      <w:r>
        <w:rPr>
          <w:rFonts w:ascii="Times New Roman" w:hAnsi="Times New Roman"/>
          <w:color w:val="000000"/>
          <w:sz w:val="2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17.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 provision for income tax benefit for the three months ended March 31, 2026 and 2025 relates to tax benefit associated with pre-tax loss. The Company’s wholly-owned Swiss subsidiary, Organogenesis GmbH, is subject to taxation in Switzerland and has a transfer pricing arrangement in place with Organogenesis Inc., its U.S. parent.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income tax rate for the three months ended March 31, 2026 was 22%, an increase from the U.S. statutory rate of 21% primarily due to research and development tax credit incentives and state and local income taxes, partially offset by tax adjustments related to executive compensation and other nondeductible expenses. The income tax benefit for the three months ended March 31, 2026 and 2025 was $15,317 and $6,940, respectively.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should be read in conjunction with our financial statements and accompanying notes included in this Form 10-Q and the financial statements and accompanying notes thereto and Management’s Discussion and Analysis of Financial Condition and Results of Operations included in our Annual Report on Form 10-K for the fiscal year ended December 31, 2025, filed with the SEC on February 26, 2026. Please refer to our cautionary note regarding forward-looking statements on page 3 of this Form 10-Q, which is incorporated herein by this reference.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the context otherwise requires, for purposes of this section, the terms “we,” “us,” “our,” “the Company,” “Organogenesis” and “ORGO” will refer to Organogenesis Holdings Inc. and its subsidiaries as they currently exist.</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Organogenesis is a leading regenerative medicine and tissue innovations company focused on empowering healing through the development, manufacturing, and sale of product solutions for the advanced wound care and surgical and sports medicine markets. Our products have been shown through clinical and scientific studies to support and in some cases accelerate tissue healing and improve patient outcomes. We are advancing the standard of care in each phase of the healing process through multiple breakthroughs in tissue engineering and cell therapy. Our solutions address large and growing markets driven by aging demographics and increases in comorbidities such as diabetes, obesity, cardiovascular and peripheral vascular disease. We offer our differentiated products and in-house customer support to a wide range of health care customers including hospitals, wound care centers, government facilities, ASCs and physician offices. Our mission is to advance healing and recovery beyond expectations.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offer a comprehensive portfolio of products in the markets we serve that address patient needs across the continuum of care. We have and intend to continue to generate data from clinical trials, real-world outcomes and health economics research that validate the clinical efficacy and value proposition offered by our products. Several of our existing and pipeline products in our portfolio have PMA, or 510(k) clearance from the FDA. Given the extensive time and cost required to conduct clinical trials and receive FDA approvals, we believe that our data and regulatory approvals provide us with a strong competitive advantage. Our product development expertise and multiple technology platforms provide a robust product pipeline, which we believe will drive future growth.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 the Advanced Wound Care market, we focus on the development and commercialization of advanced wound care products for the treatment of chronic and acute wounds in various treatment settings. We have a comprehensive portfolio of regenerative medicine products capable of supporting patients from early in the wound healing process through wound closure regardless of wound type. Our Advanced Wound Care products include Apligraf for the treatment of VLUs and DFUs; Dermagraft for the treatment of DFUs (manufacturing and distribution currently suspended pending transition to our new manufacturing facility in Smithfield, RI); PuraPly AM and PuraPly XT as antimicrobial barriers and native, cross-linked extracellular matrix (“ECM”) scaffold for a broad variety of wound types; CYGNUS Matrix as a dehydrated placental allograft that promotes an optimal environment for wound healing; Affinity and NuShield as placental allografts to address a variety of wound sizes and types as a protective barrier and ECM scaffold, and AmchoThick as a dehydrated amnion-chorion-amnion placental allograft that provides a protective barrier and supports an optimal environment for healing. We have a highly trained and specialized direct wound care sales force paired with comprehensive customer support services.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the Surgical &amp; Sports Medicine market, we are leveraging our broad regenerative medicine capabilities to address chronic and acute surgical wounds and tendon and ligament injuries. Our Sports Medicine products include NuShield and Cygnus Matrix for surgical applications in targeted soft tissue repairs; and Affinity, PuraPly MZ, PuraPly AM, and PuraPly SX for management of open wounds in the surgical setting. We currently sell these products through independent agencies and our direct sales force.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Local Coverage Determinations (LCD) and CMS Proposed and Final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25, 2024, seven MACs published new proposed LCDs for skin substitute grafts/CTPs for the treatment of DFUs and VLUs in the Medicare population. These LCDs were finalized by the MACs on November 14, 2024, and were originally set to become effective on February 12, 2025. However, on January 24, 2025, the MACs announced a delay in the implementation of the LCDs until April 13, 2025, and on April 11, 2025, the MACs announced another delay in the implementation of the LCDs until January 1, 2026. On December 15, 2025, CMS released a fact sheet stating that the MACs will issue updated LCDs that were to become effective January 1, 2026. The fact sheet included a new categorization of products as covered, non-covered, or those subject to a 12-month status quo period. However, on December 24, 2025, CMS announced that the LCDs had been withdrawn by the MACs and the most recent draft LCDs were removed from the Medicare Coverage Database. Any future changes or other developments related to these or other LCDs or coverage decisions could negatively affect utilization of our products, our business, and our revenue.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November 5, 2025, CMS released a final rule adopting policy changes for Medicare payments under the PFS and other Medicare Part B issues, effective on or after January 1, 2026. On November 25, 2025, CMS issued a final rule that adopted policy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changes for Medicare payments under the Hospital OPPS, effective on or after January 1, 2026. For calendar year 2026, under the PFS and OPPS final rules, CMS will pay for certain skin substitute products, at a payment rate of approximately $127.14 per square centimeter (prior to the application of the geographic adjustments, as applicable), as incident-to supplies when they are used as part of a covered application procedure paid in the non-facility setting or used in the hospital outpatient department and ambulatory surgery center setting. Both the PFS and OPPS final rules assign skin substitutes to categories based on their FDA regulatory status, namely 361 HCT/Ps, PMAs and 510(k)s. CMS stated that categorizing and paying for skin substitute products based on relevant product characteristics, consistent with their FDA regulatory status, recognizes the clinical and resource differences in product types and is intended to incentivize competition to create more innovative products, while also resulting in significant savings to the Medicare Trust Fund. For calendar year 2026, the final PFS and OPPS rules provide for use of a single initial payment rate across these three categories, with CMS indicating that in future years, it intends to propose payment rates that differentiate between the three FDA regulatory categories. CMS is implementing these policy changes in the non-facility setting paid under the PFS and in the hospital outpatient department and ambulatory surgical center settings paid under OPPS to remain consistent across these different sites of care. While we believe CMS’ finalized PFS and OPPS payment structure will curb abuse under the current system and the resulting rapid escalation in Medicare spending, and ensure a much-needed consistent payment approach across sites of care, the changes could also materially and adversely impact utilization of our products, our business, our revenue and our profitability.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January 1, 2026, CMS began testing the WISeR Model which uses technology-enabled prior authorization services on select Medicare services, including the use of skin substitutes. The WISeR Model will run in six states for five years and, according to CMS, is intended to reduce waste. Implementation of the WISeR Model could impact beneficiary access to our products in the applicable states, which could also materially and adversely impact utilization of our products, our business, our revenue and our profitability. On December 30, 2025, CMS published comments regarding discarded product, which have resulted in clinician confusion and material disruption in the market. While the longer-term impact of CMS’ updated 2026 Medicare reimbursement changes is still uncertain, we experienced a significant year-over-year decline in revenue in the first quarter of fiscal year 2026, and we are continuing to experience a significant year-over-year decline in revenue in the second quarter of fiscal year 2026.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light of these developments and any future changes in the rate of reimbursement for our products, we may prioritize the sale of certain products (including licensed products) in our portfolio.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ReNu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2025, we completed a planned Type B meeting with the FDA, resulting in confirmation to initiate a rolling BLA for ReNu. We initiated our rolling BLA submission in December 2025 and completed the submission on April 24, 2026. </w:t>
      </w:r>
    </w:p>
    <w:p>
      <w:pPr>
        <w:pStyle w:val="TextBody"/>
        <w:bidi w:val="0"/>
        <w:spacing w:before="360" w:after="283"/>
        <w:jc w:val="left"/>
        <w:rPr>
          <w:rFonts w:ascii="Times New Roman" w:hAnsi="Times New Roman"/>
          <w:sz w:val="20"/>
        </w:rPr>
      </w:pPr>
      <w:r>
        <w:rPr>
          <w:rFonts w:ascii="Times New Roman" w:hAnsi="Times New Roman"/>
          <w:b/>
          <w:i/>
          <w:color w:val="000000"/>
          <w:sz w:val="20"/>
        </w:rPr>
        <w:t>Dermagraft</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previously disclosed, manufacturing of Dermagraft was suspended in the fourth quarter of 2021 and sales of Dermagraft were suspended in the second quarter of 2022. We currently plan to transition our Dermagraft manufacturing to our newly-leased biomanufacturing facility in Smithfield, Rhode Island, which we expect will begin in 2027, and will result in significant capacity and substantial long-term cost savings. We plan to resume sales of Dermagraft by the end of 2027. If there are significant delays in the build-out of the Smithfield Facility or in FDA approval of the facility for manufacturing Dermagraft, it could have an adverse effect on our consolidated net product revenue and results of operations.</w:t>
      </w:r>
    </w:p>
    <w:p>
      <w:pPr>
        <w:pStyle w:val="TextBody"/>
        <w:bidi w:val="0"/>
        <w:jc w:val="left"/>
        <w:rPr>
          <w:rFonts w:ascii="Times New Roman" w:hAnsi="Times New Roman"/>
          <w:sz w:val="20"/>
        </w:rPr>
      </w:pPr>
      <w:r>
        <w:rPr>
          <w:rFonts w:ascii="Times New Roman" w:hAnsi="Times New Roman"/>
          <w:b/>
          <w:color w:val="000000"/>
          <w:sz w:val="20"/>
        </w:rPr>
        <w:t>Components of Our Condensed Consolidated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assessing the performance of our business, we consider a variety of performance and financial measures. We believe the items discussed below provide insight into the factors that affect these key measures. </w:t>
      </w:r>
    </w:p>
    <w:p>
      <w:pPr>
        <w:pStyle w:val="TextBody"/>
        <w:bidi w:val="0"/>
        <w:spacing w:before="120" w:after="283"/>
        <w:jc w:val="left"/>
        <w:rPr>
          <w:rFonts w:ascii="Times New Roman" w:hAnsi="Times New Roman"/>
          <w:sz w:val="20"/>
        </w:rPr>
      </w:pPr>
      <w:r>
        <w:rPr>
          <w:rFonts w:ascii="Times New Roman" w:hAnsi="Times New Roman"/>
          <w:b/>
          <w:i/>
          <w:color w:val="000000"/>
          <w:sz w:val="20"/>
        </w:rPr>
        <w:t>Net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derive our net product revenue from our portfolio of Advanced Wound Care and Surgical &amp; Sports Medicine products. We primarily sell our Advanced Wound Care products through direct sales representatives who manage and maintain the sales relationships with hospitals, wound care centers, government facilities, ASCs and physician offices. We primarily sell our Surgical &amp; Sports Medicine products through third party agencies. As of March 31, 2026, we had approximately 191 direct sales representatives and approximately 186 independent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product revenue from sales of our Advanced Wound Care and Surgical &amp; Sports Medicine products when the customer obtains control of our product, which occurs at a point in time and may be upon procedure date, shipment, or delivery, based on the contractual terms. We record product revenue net of a reserve for returns, discounts and group purchasing organizations (GPO) rebates, which represent a direct reduction to the product revenue we recognize.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Several factors affect our reported product revenue in any period, including product, payer and geographic sales mix, operational effectiveness, pricing realization, marketing and promotional efforts, the timing of orders and shipments, regulatory actions including healthcare reimbursement scenarios, competition and business acquisitions.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Grant income</w:t>
      </w:r>
    </w:p>
    <w:p>
      <w:pPr>
        <w:pStyle w:val="TextBody"/>
        <w:bidi w:val="0"/>
        <w:spacing w:before="120" w:after="120"/>
        <w:jc w:val="left"/>
        <w:rPr>
          <w:rFonts w:ascii="Times New Roman" w:hAnsi="Times New Roman"/>
          <w:sz w:val="20"/>
        </w:rPr>
      </w:pPr>
      <w:r>
        <w:rPr>
          <w:rFonts w:ascii="Times New Roman" w:hAnsi="Times New Roman"/>
          <w:color w:val="000000"/>
          <w:sz w:val="20"/>
        </w:rPr>
        <w:t>Grant income relates to a grant the Company received from a governmental agency during the second quarter of 2025 related to its Smithfield Facility. We expect to recognize grant income through 2026 as the Company recognizes the related expenses that the grant is intended to compensate</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Cost of goods sold and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goods sold includes personnel costs, product testing costs, quality assurance costs, raw materials and product costs, manufacturing costs, and the costs associated with our manufacturing and warehouse facilities. The changes in our cost of goods sold correspond with the changes in sales units and are also affected by product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is calculated as net product revenue less cost of goods sold and generally increases as product revenue increases. Our gross profit is affected by product and geographic sales mix, realized pricing of our products, the efficiency of our manufacturing operations, and the costs of materials used and fees charged by third-party manufacturers to produce our products. Regulatory actions, including healthcare reimbursement scenarios, which may require costly expenditures or result in pricing pressures, may decrease our gross profit. </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generally include personnel costs for sales, marketing, sales support, customer support, and general and administrative personnel, sales commissions, incentive compensation, insurance, professional fees, depreciation, amortization, bad debt expense, royalties, information systems costs, gain or loss on disposal of long-lived assets, and costs associated with our administrative facilities.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include expenses for clinical trials, personnel costs for our research and development personnel, expenses related to improvements in our manufacturing processes, enhancements to our currently available products, and additional investments in our product and platform development pipeline. We expense research and development costs as incurred. </w:t>
      </w:r>
    </w:p>
    <w:p>
      <w:pPr>
        <w:pStyle w:val="TextBody"/>
        <w:bidi w:val="0"/>
        <w:spacing w:before="240" w:after="283"/>
        <w:jc w:val="left"/>
        <w:rPr>
          <w:rFonts w:ascii="Times New Roman" w:hAnsi="Times New Roman"/>
          <w:sz w:val="20"/>
        </w:rPr>
      </w:pPr>
      <w:r>
        <w:rPr>
          <w:rFonts w:ascii="Times New Roman" w:hAnsi="Times New Roman"/>
          <w:b/>
          <w:i/>
          <w:color w:val="000000"/>
          <w:sz w:val="20"/>
        </w:rPr>
        <w:t>Impairment and write-down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and write-down of property relates to the pending sale of one of our buildings located on our Canton, Massachusetts campus that was adjusted to fair market value based on current market conditions. We recorded charges related to the impairment and write-down of the property during the second quarter of 2024 and each quarter of 2025.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net comprises primarily of interest income generated from our interest-bearing sweep accounts offset by amortization of debt discount and debt issuance costs and interest expense related to our finance lease obligations.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account for income taxes using an asset and liability approach. Deferred income taxes reflect the net tax effects of temporary differences between the carrying amounts of assets and liabilities for financial reporting purposes and the amounts used for income tax purposes. Valuation allowances are provided when necessary to reduce net deferred tax assets to an amount that is more likely than not to be realized. </w:t>
      </w:r>
    </w:p>
    <w:p>
      <w:pPr>
        <w:pStyle w:val="TextBody"/>
        <w:bidi w:val="0"/>
        <w:spacing w:before="120" w:after="283"/>
        <w:jc w:val="left"/>
        <w:rPr>
          <w:rFonts w:ascii="Times New Roman" w:hAnsi="Times New Roman"/>
          <w:sz w:val="20"/>
        </w:rPr>
      </w:pPr>
      <w:r>
        <w:rPr>
          <w:rFonts w:ascii="Times New Roman" w:hAnsi="Times New Roman"/>
          <w:color w:val="000000"/>
          <w:sz w:val="20"/>
        </w:rPr>
        <w:t>In determining whether a valuation allowance for deferred tax assets is necessary, we analyze both positive and negative evidence related to the realization of deferred tax assets including projected future taxable income, recent financial results and estimates of future reversals of deferred tax assets and liabilities. In addition, we consider whether it is more likely than not that the tax position will be sustained on examination by taxing authorities based on the technical merits of the position.</w:t>
      </w:r>
      <w:r>
        <w:rPr>
          <w:rFonts w:ascii="Times New Roman" w:hAnsi="Times New Roman"/>
          <w:color w:val="FF0000"/>
          <w:sz w:val="20"/>
        </w:rPr>
        <w:t xml:space="preserve"> </w:t>
      </w:r>
      <w:r>
        <w:rPr>
          <w:rFonts w:ascii="Times New Roman" w:hAnsi="Times New Roman"/>
          <w:color w:val="000000"/>
          <w:sz w:val="20"/>
        </w:rPr>
        <w:t>As of March 31, 2026 and December 31, 2025, the Company has established a valuation allowance on certain state research and development tax credits that the Company believes are more likely than not to expire before being utilized.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U.S. provision for income tax benefit for the three months ended March 31, 2026 and 2025 relates to tax benefit associated with pre-tax loss. We have also recorded a foreign provision for income taxes related to our wholly-owned subsidiary in Switzerland.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account for uncertainty in income taxes recognized in the condensed consolidated financial statements by applying a two-step process to determine the amount of tax benefit to be recognized. First, the tax position must be evaluated to determine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likelihood that it will be sustained upon external examination by the taxing authorities. If the tax position is deemed more-likely-than-not to be sustained, the tax position is then assessed to determine the amount of benefit to recognize in the condensed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for the periods indicated, our results of operations: </w:t>
      </w:r>
    </w:p>
    <w:tbl>
      <w:tblPr>
        <w:tblW w:w="7566" w:type="dxa"/>
        <w:jc w:val="left"/>
        <w:tblInd w:w="0" w:type="dxa"/>
        <w:tblLayout w:type="fixed"/>
        <w:tblCellMar>
          <w:top w:w="28" w:type="dxa"/>
          <w:left w:w="28" w:type="dxa"/>
          <w:bottom w:w="28" w:type="dxa"/>
          <w:right w:w="28" w:type="dxa"/>
        </w:tblCellMar>
      </w:tblPr>
      <w:tblGrid>
        <w:gridCol w:w="4041"/>
        <w:gridCol w:w="146"/>
        <w:gridCol w:w="256"/>
        <w:gridCol w:w="949"/>
        <w:gridCol w:w="201"/>
        <w:gridCol w:w="177"/>
        <w:gridCol w:w="256"/>
        <w:gridCol w:w="949"/>
        <w:gridCol w:w="591"/>
      </w:tblGrid>
      <w:tr>
        <w:trPr/>
        <w:tc>
          <w:tcPr>
            <w:tcW w:w="4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Write-down to fair value for asset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15,317</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(53,156</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EBITDA and 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uses financial measures that are not in accordance with GAAP (“Non-GAAP”), in addition to financial measures in accordance with GAAP, to evaluate our operating results. These Non-GAAP financial measures should be considered supplemental to, and not a substitute for, our reported financial results prepared in accordance with GAAP. Our management uses Adjusted EBITDA to evaluate our operating performance and trends and make planning decisions. Our management believes Adjusted EBITDA helps identify underlying trends in our business that could otherwise be masked by the effect of the items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a reconciliation of GAAP net loss to non-GAAP EBITDA and non-GAAP Adjusted EBITDA for each of the periods presented:</w:t>
      </w:r>
    </w:p>
    <w:tbl>
      <w:tblPr>
        <w:tblW w:w="7656" w:type="dxa"/>
        <w:jc w:val="left"/>
        <w:tblInd w:w="0" w:type="dxa"/>
        <w:tblLayout w:type="fixed"/>
        <w:tblCellMar>
          <w:top w:w="28" w:type="dxa"/>
          <w:left w:w="28" w:type="dxa"/>
          <w:bottom w:w="28" w:type="dxa"/>
          <w:right w:w="28" w:type="dxa"/>
        </w:tblCellMar>
      </w:tblPr>
      <w:tblGrid>
        <w:gridCol w:w="4311"/>
        <w:gridCol w:w="146"/>
        <w:gridCol w:w="266"/>
        <w:gridCol w:w="931"/>
        <w:gridCol w:w="210"/>
        <w:gridCol w:w="184"/>
        <w:gridCol w:w="266"/>
        <w:gridCol w:w="931"/>
        <w:gridCol w:w="4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(53,156</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(18,843</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(15,317</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 (1)</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210"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411"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write-downs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 (3)</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Write-down to fair value for asset held for sale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210"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w:t>
            </w:r>
          </w:p>
        </w:tc>
        <w:tc>
          <w:tcPr>
            <w:tcW w:w="411"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includes $4.9 million accelerated amortization of intangible assets due to a facility 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reflects inventory write-down adjustments for excess and obsolete inventory resulting from LCD regulatory changes of $3.3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reflects employee severance and benefits as well as other exit costs associated with the Company’s restructuring activities of $2.8 million and inventory write-down adjustments for excess and obsolete inventory resulting from a facility closure of $1.0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rFonts w:ascii="Times New Roman" w:hAnsi="Times New Roman"/>
          <w:color w:val="000000"/>
          <w:sz w:val="20"/>
        </w:rPr>
        <w:t>Amount reflects the fair value adjustment of a purchased building classified as held for sale</w:t>
      </w:r>
      <w:r>
        <w:rPr>
          <w:rFonts w:ascii="Cambria;serif" w:hAnsi="Cambria;serif"/>
          <w:color w:val="000000"/>
          <w:sz w:val="18"/>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Three Months Ended March 31, 2026 and 2025</w:t>
      </w:r>
    </w:p>
    <w:p>
      <w:pPr>
        <w:pStyle w:val="TextBody"/>
        <w:bidi w:val="0"/>
        <w:spacing w:before="120" w:after="283"/>
        <w:jc w:val="left"/>
        <w:rPr>
          <w:rFonts w:ascii="Times New Roman" w:hAnsi="Times New Roman"/>
          <w:sz w:val="20"/>
        </w:rPr>
      </w:pPr>
      <w:r>
        <w:rPr>
          <w:rFonts w:ascii="Times New Roman" w:hAnsi="Times New Roman"/>
          <w:b/>
          <w:i/>
          <w:color w:val="000000"/>
          <w:sz w:val="20"/>
        </w:rPr>
        <w:t>Net Product Revenue</w:t>
      </w:r>
      <w:r>
        <w:rPr>
          <w:rFonts w:ascii="Times New Roman" w:hAnsi="Times New Roman"/>
          <w:color w:val="000000"/>
          <w:sz w:val="20"/>
        </w:rPr>
        <w:t xml:space="preserve"> </w:t>
      </w:r>
    </w:p>
    <w:p>
      <w:pPr>
        <w:pStyle w:val="TextBody"/>
        <w:bidi w:val="0"/>
        <w:jc w:val="left"/>
        <w:rPr/>
      </w:pPr>
      <w:r>
        <w:rPr/>
        <w:t> </w:t>
      </w:r>
    </w:p>
    <w:tbl>
      <w:tblPr>
        <w:tblW w:w="7896" w:type="dxa"/>
        <w:jc w:val="left"/>
        <w:tblInd w:w="0" w:type="dxa"/>
        <w:tblLayout w:type="fixed"/>
        <w:tblCellMar>
          <w:top w:w="28" w:type="dxa"/>
          <w:left w:w="28" w:type="dxa"/>
          <w:bottom w:w="28" w:type="dxa"/>
          <w:right w:w="28" w:type="dxa"/>
        </w:tblCellMar>
      </w:tblPr>
      <w:tblGrid>
        <w:gridCol w:w="2371"/>
        <w:gridCol w:w="146"/>
        <w:gridCol w:w="285"/>
        <w:gridCol w:w="913"/>
        <w:gridCol w:w="197"/>
        <w:gridCol w:w="197"/>
        <w:gridCol w:w="285"/>
        <w:gridCol w:w="913"/>
        <w:gridCol w:w="146"/>
        <w:gridCol w:w="146"/>
        <w:gridCol w:w="211"/>
        <w:gridCol w:w="736"/>
        <w:gridCol w:w="166"/>
        <w:gridCol w:w="146"/>
        <w:gridCol w:w="146"/>
        <w:gridCol w:w="376"/>
        <w:gridCol w:w="5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Wound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Surgical &amp; Sports Medicine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decrease in net product revenue in the three months ended March 31, 2026 was primarily due to a decrease in Advanced Wound Care net product revenue attributable to increased clinician confusion and material disruption in the market following the withdrawal of the LCD coverage policies for skin substitutes and CMS published comments regarding discarded product in December 2025. </w:t>
      </w:r>
    </w:p>
    <w:p>
      <w:pPr>
        <w:pStyle w:val="TextBody"/>
        <w:bidi w:val="0"/>
        <w:jc w:val="left"/>
        <w:rPr>
          <w:rFonts w:ascii="Times New Roman" w:hAnsi="Times New Roman"/>
          <w:sz w:val="20"/>
        </w:rPr>
      </w:pPr>
      <w:r>
        <w:rPr>
          <w:rFonts w:ascii="Times New Roman" w:hAnsi="Times New Roman"/>
          <w:b/>
          <w:i/>
          <w:color w:val="000000"/>
          <w:sz w:val="20"/>
        </w:rPr>
        <w:t>Cost of Goods Sold and Gross Profit</w:t>
      </w:r>
      <w:r>
        <w:rPr>
          <w:rFonts w:ascii="Times New Roman" w:hAnsi="Times New Roman"/>
          <w:color w:val="000000"/>
          <w:sz w:val="20"/>
        </w:rPr>
        <w:t xml:space="preserve"> </w:t>
      </w:r>
    </w:p>
    <w:p>
      <w:pPr>
        <w:pStyle w:val="TextBody"/>
        <w:bidi w:val="0"/>
        <w:jc w:val="left"/>
        <w:rPr/>
      </w:pPr>
      <w:r>
        <w:rPr/>
        <w:t> </w:t>
      </w:r>
    </w:p>
    <w:tbl>
      <w:tblPr>
        <w:tblW w:w="7021" w:type="dxa"/>
        <w:jc w:val="left"/>
        <w:tblInd w:w="0" w:type="dxa"/>
        <w:tblLayout w:type="fixed"/>
        <w:tblCellMar>
          <w:top w:w="28" w:type="dxa"/>
          <w:left w:w="28" w:type="dxa"/>
          <w:bottom w:w="28" w:type="dxa"/>
          <w:right w:w="28" w:type="dxa"/>
        </w:tblCellMar>
      </w:tblPr>
      <w:tblGrid>
        <w:gridCol w:w="1636"/>
        <w:gridCol w:w="146"/>
        <w:gridCol w:w="285"/>
        <w:gridCol w:w="913"/>
        <w:gridCol w:w="197"/>
        <w:gridCol w:w="197"/>
        <w:gridCol w:w="285"/>
        <w:gridCol w:w="913"/>
        <w:gridCol w:w="146"/>
        <w:gridCol w:w="146"/>
        <w:gridCol w:w="211"/>
        <w:gridCol w:w="736"/>
        <w:gridCol w:w="166"/>
        <w:gridCol w:w="146"/>
        <w:gridCol w:w="146"/>
        <w:gridCol w:w="376"/>
        <w:gridCol w:w="3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10,478</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cost of goods sold in the three months ended March 31, 2026 was primarily due to increased inventory write-down adjustments for excess and obsolete inventory resulting from a facility closure and LCD regulatory changes, partially offset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lower costs associated with the decrease in net product revenue. Gross profit decreased as a percentage of revenue due to volume and pricing related impacts of the Medicare reimbursement changes and product mixes.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tbl>
      <w:tblPr>
        <w:tblW w:w="7391" w:type="dxa"/>
        <w:jc w:val="left"/>
        <w:tblInd w:w="0" w:type="dxa"/>
        <w:tblLayout w:type="fixed"/>
        <w:tblCellMar>
          <w:top w:w="28" w:type="dxa"/>
          <w:left w:w="28" w:type="dxa"/>
          <w:bottom w:w="28" w:type="dxa"/>
          <w:right w:w="28" w:type="dxa"/>
        </w:tblCellMar>
      </w:tblPr>
      <w:tblGrid>
        <w:gridCol w:w="2311"/>
        <w:gridCol w:w="146"/>
        <w:gridCol w:w="285"/>
        <w:gridCol w:w="913"/>
        <w:gridCol w:w="197"/>
        <w:gridCol w:w="197"/>
        <w:gridCol w:w="285"/>
        <w:gridCol w:w="913"/>
        <w:gridCol w:w="146"/>
        <w:gridCol w:w="146"/>
        <w:gridCol w:w="211"/>
        <w:gridCol w:w="571"/>
        <w:gridCol w:w="146"/>
        <w:gridCol w:w="146"/>
        <w:gridCol w:w="146"/>
        <w:gridCol w:w="316"/>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15,161</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research and development expenses in the three months ended March 31, 2026 was primarily due to pre-launch activities related to Dermagraft in our biomanufacturing facility in Smithfield, Rhode Island, and timing of expenses associated with clinical research and trials, primarily related to ReNu, and support of BLA efforts.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8236" w:type="dxa"/>
        <w:jc w:val="left"/>
        <w:tblInd w:w="0" w:type="dxa"/>
        <w:tblLayout w:type="fixed"/>
        <w:tblCellMar>
          <w:top w:w="28" w:type="dxa"/>
          <w:left w:w="28" w:type="dxa"/>
          <w:bottom w:w="28" w:type="dxa"/>
          <w:right w:w="28" w:type="dxa"/>
        </w:tblCellMar>
      </w:tblPr>
      <w:tblGrid>
        <w:gridCol w:w="2956"/>
        <w:gridCol w:w="146"/>
        <w:gridCol w:w="285"/>
        <w:gridCol w:w="913"/>
        <w:gridCol w:w="197"/>
        <w:gridCol w:w="197"/>
        <w:gridCol w:w="285"/>
        <w:gridCol w:w="913"/>
        <w:gridCol w:w="146"/>
        <w:gridCol w:w="146"/>
        <w:gridCol w:w="211"/>
        <w:gridCol w:w="631"/>
        <w:gridCol w:w="166"/>
        <w:gridCol w:w="146"/>
        <w:gridCol w:w="146"/>
        <w:gridCol w:w="376"/>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65,186</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selling, general and administrative expenses in the three months ended March 31, 2026 was primarily due to a decrease in commissions, royalty and allowance for expected credit losses due to decreased sales, partially offset by an increase in headcount-related expenses for severance and other costs associated with the Company’s restructuring activities, and accelerated amortization of intangible assets due to a facility closure.</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Write Down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2025, we recorded a $6.6 million write down of costs to adjust certain assets held for sale to their fair market value. There were no such costs recorded in the three months ended March 31, 2026.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net, decreased by $0.5 million in the three months ended March 31, 2026. The decrease resulted primarily from decreased interest income generated from our interest-bearing sweep accounts and increased interest expense related to finance lease obligations.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 Benefit</w:t>
      </w:r>
    </w:p>
    <w:p>
      <w:pPr>
        <w:pStyle w:val="TextBody"/>
        <w:bidi w:val="0"/>
        <w:jc w:val="left"/>
        <w:rPr/>
      </w:pPr>
      <w:r>
        <w:rPr/>
        <w:t> </w:t>
      </w:r>
    </w:p>
    <w:tbl>
      <w:tblPr>
        <w:tblW w:w="6819" w:type="dxa"/>
        <w:jc w:val="left"/>
        <w:tblInd w:w="0" w:type="dxa"/>
        <w:tblLayout w:type="fixed"/>
        <w:tblCellMar>
          <w:top w:w="28" w:type="dxa"/>
          <w:left w:w="28" w:type="dxa"/>
          <w:bottom w:w="28" w:type="dxa"/>
          <w:right w:w="28" w:type="dxa"/>
        </w:tblCellMar>
      </w:tblPr>
      <w:tblGrid>
        <w:gridCol w:w="1636"/>
        <w:gridCol w:w="146"/>
        <w:gridCol w:w="300"/>
        <w:gridCol w:w="962"/>
        <w:gridCol w:w="207"/>
        <w:gridCol w:w="207"/>
        <w:gridCol w:w="300"/>
        <w:gridCol w:w="812"/>
        <w:gridCol w:w="146"/>
        <w:gridCol w:w="146"/>
        <w:gridCol w:w="211"/>
        <w:gridCol w:w="571"/>
        <w:gridCol w:w="146"/>
        <w:gridCol w:w="146"/>
        <w:gridCol w:w="146"/>
        <w:gridCol w:w="421"/>
        <w:gridCol w:w="3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15,317</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the income tax benefit is primarily attributable to a higher pre-tax loss for the three months ended March 31, 2026, partially offset by a lower estimated effective tax rate for the twelve months ending December 31, 2026 resulting from a decrease in expected pre-tax income in 2026 compared to 2025, offset by our research and development tax credits. </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March 31, 2026, we had working capital (excluding asset held for sale) of $190.1 million, which included $91.4 million in cash and cash equivalents. We have $75.0 million available for future revolving borrowings under our Revolving Facility through August 6, 2026 (see Note 9, </w:t>
      </w:r>
      <w:r>
        <w:rPr>
          <w:rFonts w:ascii="Times New Roman" w:hAnsi="Times New Roman"/>
          <w:i/>
          <w:color w:val="000000"/>
          <w:sz w:val="20"/>
        </w:rPr>
        <w:t>Long-Term Debt Obligations</w:t>
      </w:r>
      <w:r>
        <w:rPr>
          <w:rFonts w:ascii="Times New Roman" w:hAnsi="Times New Roman"/>
          <w:color w:val="000000"/>
          <w:sz w:val="20"/>
        </w:rPr>
        <w:t xml:space="preserve"> to our condensed consolidated financial statements included in this Form 10-Q). We expect that our cash on hand and other components of working capital as of March 31, 2026, availability under the Revolving Facility through August 6, 2026, plus net cash flows from product sales, will be sufficient to fund our operating expenses, capital expenditure requirements and debt service payments for at least 12 months beyond the filing date of this Form 10-Q.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primary uses of cash are working capital requirements, capital expenditures and debt service payments. Additionally, from time to time, we may use capital for acquisitions and other investing and financing activities. Working capital is used principally for our personnel as well as manufacturing costs related to the production of our products. Our working capital requirements vary from period to period depending on manufacturing volumes, the timing of shipments and the payment cycles of our customers and payers. Our capital expenditures consist primarily of building improvements (including costs related to the build-out of our Smithfield, Rhode Island facility), manufacturing equipment, and computer hardware and software.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additional funds are necessary to meet our long-term liquidity needs as we continue to execute on our business strategy, we anticipate that they will be obtained through additional equity or debt financings, other strategic transactions or a combination of these potential sources of funds. There can be no assurance that we will be able to obtain additional funds on terms acceptable to us, on a timely basis or at all.</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each of the periods presented: </w:t>
      </w:r>
    </w:p>
    <w:p>
      <w:pPr>
        <w:pStyle w:val="TextBody"/>
        <w:bidi w:val="0"/>
        <w:jc w:val="left"/>
        <w:rPr/>
      </w:pPr>
      <w:r>
        <w:rPr/>
        <w:t> </w:t>
      </w:r>
    </w:p>
    <w:tbl>
      <w:tblPr>
        <w:tblW w:w="7826" w:type="dxa"/>
        <w:jc w:val="left"/>
        <w:tblInd w:w="0" w:type="dxa"/>
        <w:tblLayout w:type="fixed"/>
        <w:tblCellMar>
          <w:top w:w="28" w:type="dxa"/>
          <w:left w:w="28" w:type="dxa"/>
          <w:bottom w:w="28" w:type="dxa"/>
          <w:right w:w="28" w:type="dxa"/>
        </w:tblCellMar>
      </w:tblPr>
      <w:tblGrid>
        <w:gridCol w:w="4681"/>
        <w:gridCol w:w="146"/>
        <w:gridCol w:w="266"/>
        <w:gridCol w:w="931"/>
        <w:gridCol w:w="210"/>
        <w:gridCol w:w="184"/>
        <w:gridCol w:w="266"/>
        <w:gridCol w:w="931"/>
        <w:gridCol w:w="2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(20,213</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net cash provided by operating activities was $21.1 million, resulting from our net loss of $53.2 million, offset by net cash provided by changes in our operating assets and liabilities of $70.5 million and non-cash charges of $3.8 million. Net cash provided by changes in our operating assets and liabilities included a decrease in accounts receivable of $104.5 million and an increase in other liabilities of $0.3 million, partially offset by an increase in inventory of $8.7 million, an increase in prepaid expenses and other current assets and other assets of $1.7 million, a decrease in operating lease liabilities of $2.4 million, a decrease in accounts payable of $2.0 million, and a decrease in accrued expenses and other current liabilities of $19.5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net cash used in operating activities was $19.9 million, resulting from our net loss of $18.8 million and net cash used in connection with changes in our operating assets and liabilities of $20.7 million, partially offset by non-cash charges of $19.6 million. Net cash used in changes in our operating assets and liabilities included an increase in inventory of $8.7 million, an increase in prepaid expenses and other current assets of $5.1 million, a decrease in operating lease liabilities of $2.0 million, a decrease in accounts payable of $2.5 million, and a decrease in accrued expenses and other liabilities of $8.0 million, partially offset by a decrease in accounts receivable of $5.7 million.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we used $3.1 million of cash in investing activities consisting exclusively of capital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we used $3.6 million of cash in investing activities consisting exclusively of capital expenditures.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net cash used in financing activities was $20.2 million. This consisted of payments for construction of landlord assets, net of tenant allowance of $7.3 million, principal payments on finance lease obligations of $9.8 million and net cash payments associated with our stock awards activities of $3.1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net cash used in financing activities was $2.1 million. This consisted of principal payments on finance lease obligations of $0.3 million and net cash payments associated with our stock awards activities of $1.8 million.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Indebtedness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2021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we and our subsidiaries entered into a credit agreement with SVB and several other lenders (the “Lenders”), which we refer to as the 2021 Credit Agreement. The 2021 Credit Agreement, as amended, provided for a term loan facility not to exceed $75.0 million (the “Term Loan Facility”) and a revolving credit facility not to exceed $125.0 million (the “Revolving Facility”). In November 2024, we and the Lenders amended the 2021 Credit Agreement to allow for the issuance of the Convertible Preferred Stock, and to require the repayment of the Term Loan Facility within one business day of such issuance, among other terms. We prepaid the Term Loan Facility in November 2024, and amounts borrowed under the Term Loan Facility may not be re-borrowed.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we and the Lenders amended the 2021 Credit Agreement to provide that so long as there are no outstanding borrowings under the Revolving Facility, the Consolidated Fixed Charge Coverage Ratio covenant (described below) shall not be tested for the fiscal quarter ended June 30, 2025. On October 31, 2025, the 2021 Credit Agreement was further amended (the “October 2025 Amendment”). The October 2025 Amendment reduced the Revolving Facility from $125.0 million to $75.0 million, removed the Consolidated Fixed Charge Coverage Ratio covenant and added a minimum Consolidated Interest Coverage Ratio covenant, tested quarterly, that requires consolidated EBITDA for any period of four consecutive fiscal quarters to equal or exceed 300% of consolidated cash interest expense for such period, and a Consolidated Capital Expenditures covenant, which requires capital expenditures to be less than $50.0 million during any 12-month period when loans under the Revolving Facility exceed $50.0 million. The Company paid an amendment fee of $0.1 million in connection with the October 2025 Amendment.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Advances made under the 2021 Credit Agreement were either SOFR Loans or ABR Loans, at our option. For SOFR Loans, the interest rate was a per annum interest rate equal to the Adjusted Term SOFR plus an Applicable Margin between 2.00% to 3.25% based on the Total Net Leverage Ratio. For ABR Loans, the interest rate was equal to (1) the highest of (a) the Wall Street Journal Prime Rate, (b) the Federal Funds Rate plus 0.50% and (c) the Adjusted Term SOFR rate plus 1.0%, </w:t>
      </w:r>
      <w:r>
        <w:rPr>
          <w:rFonts w:ascii="Times New Roman" w:hAnsi="Times New Roman"/>
          <w:i/>
          <w:color w:val="000000"/>
          <w:sz w:val="20"/>
        </w:rPr>
        <w:t>plus</w:t>
      </w:r>
      <w:r>
        <w:rPr>
          <w:rFonts w:ascii="Times New Roman" w:hAnsi="Times New Roman"/>
          <w:color w:val="000000"/>
          <w:sz w:val="20"/>
        </w:rPr>
        <w:t xml:space="preserve"> (2) an Applicable Margin between 1.00% to 2.25% based on the Total Net Leverage Ratio.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pay in arrears, on the first day of each quarter prior to August 6, 2026 (the “Revolving Termination Date”) and on the Revolving Termination Date, a fee for our non-use of available funds (the “Commitment Fee”). The Commitment Fee rate is between 0.25% to 0.45% based on the Total Net Leverage Ratio. We may elect to reduce or terminate the Revolving Facility in its entirety at any time by repaying all outstanding principal and unpaid accrued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2021 Credit Agreement, as amended, we are required to comply with certain financial covenants including the Consolidated Total Net Leverage Ratio, Consolidated Interest Coverage Ratio and Consolidated Capital Expenditures, tested quarterly. In addition, we are also required to make representations and warranties and comply with certain non-financial covenants that are customary in loan agreements of this type, including restrictions on the payment of dividends, repurchase of stock, incurrence of indebtedness, dispositions and acquisitions.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and March 31, 2026, we were in compliance with the covenants under the 2021 Credit Agreement, as amended. As of December 31, 2025 and March 31, 2026, we did not have outstanding borrowings under our Revolving Facility, which will expire on August 6, 2026. </w:t>
      </w:r>
    </w:p>
    <w:p>
      <w:pPr>
        <w:pStyle w:val="TextBody"/>
        <w:bidi w:val="0"/>
        <w:spacing w:before="12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GAAP. The preparation of unaudited condensed consolidated financial statements requires us to make estimates, assumptions and judgments that affect the reported amounts of assets, liabilities, and the disclosure at the date of the unaudited condensed consolidated financial statements, as well as revenue and expenses recorded during the reporting periods. Management bases its estimates, assumptions and judgments on historical experience and on various other factors that it believes to be reasonable under the circumstances. Different assumptions and judgments would change the estimates used in the preparation of our unaudited condensed consolidated financial statements, which, in turn, could materially change our results from those reported. Management evaluates its estimates, assumptions and judgments on an ongoing basis. Historically, our critical accounting estimates have not differed materially from actual results. However, if our assumptions change, we may need to revise our estimates, or take other corrective actions, either of which may also have a material adverse effect on our condensed consolidated statements of operations and comprehensive loss, liquidity and financial condition. See also our Annual Report on Form 10-K for the fiscal year ended December 31, 2025, for information about these accounting policies as well as a description of our other significant accounting policies.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reviewed all recently issued standards as disclosed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condensed consolidated financial statements included in this Form 10-Q.</w:t>
      </w:r>
    </w:p>
    <w:p>
      <w:pPr>
        <w:pStyle w:val="TextBody"/>
        <w:bidi w:val="0"/>
        <w:spacing w:before="12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there were no material changes to our market risk disclosures as set forth in Part II, Item 7A, “Quantitative and Qualitative Disclosures About Market Risk” in our Annual Report on Form 10-K for the fiscal year ended December 31, 2025.</w:t>
      </w:r>
    </w:p>
    <w:p>
      <w:pPr>
        <w:pStyle w:val="TextBody"/>
        <w:bidi w:val="0"/>
        <w:spacing w:before="12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evaluated the effectiveness of our disclosure controls and procedures (as defined in Rules 13a-15(e) and 15d-15(e) under the Securities Exchange Act of 1934, as amended, or the Exchange Act). Based upon that evaluation, our management, including our principal executive officer and our principal financial officer, concluded that, as of March 31, 2026, our disclosure controls and procedures are effective and designed to ensure that the information required to be disclosed in our reports filed or submitted under the Exchange Act is recorded, processed, summarized and reported within the requisite time periods.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controls over financial reporting that occurred during the quarter ended March 31, 2026 that have materially affected, or are reasonably likely to materially affect, our internal controls over financial reporting. </w:t>
      </w:r>
    </w:p>
    <w:p>
      <w:pPr>
        <w:pStyle w:val="TextBody"/>
        <w:bidi w:val="0"/>
        <w:spacing w:before="120" w:after="283"/>
        <w:jc w:val="left"/>
        <w:rPr>
          <w:rFonts w:ascii="Times New Roman" w:hAnsi="Times New Roman"/>
          <w:sz w:val="20"/>
        </w:rPr>
      </w:pPr>
      <w:bookmarkStart w:id="13" w:name="part_ii_or_information"/>
      <w:bookmarkEnd w:id="13"/>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a party to any material legal proceedings. From time to time, we may become involved in litigation or other legal proceedings relating to claims arising from the ordinary course of business. These matters may include intellectual property, employment and other general claims. With respect to our outstanding legal matters, based on our current knowledge, we believe that the amount or range of reasonably possible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t>
      </w:r>
    </w:p>
    <w:p>
      <w:pPr>
        <w:pStyle w:val="TextBody"/>
        <w:bidi w:val="0"/>
        <w:spacing w:before="12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Class A common stock involves a high degree of risk. Our Annual Report on Form 10-K for the year ended December 31, 2025, includes a detailed discussion of our risk factors under the heading “Part I, Item 1A—Risk Factors.” There have been no material changes from such risk factors during the quarter ended March 31, 2026. You should consider carefully the risk factors discussed in our Annual Report on Form 10-K for the year ended December 31, 2025, and all other information contained in or incorporated by reference in this Form 10-Q before making an investment decision. If any of the risks discussed in the Annual Report on Form 10-K for the year ended December 31, 2025, or herein actually occur, they may materially harm our business, financial condition, operating results, cash flows or growth prospects. As a result, the market price of our Class A common stock could decline, and you could lose all or part of your investment. Additional risks and uncertainties that are not yet identified or that we think are immaterial may also materially harm our business, financial condition, operating results, cash flows or growth prospects and could result in a complete loss of your investment.</w:t>
      </w:r>
    </w:p>
    <w:p>
      <w:pPr>
        <w:pStyle w:val="TextBody"/>
        <w:bidi w:val="0"/>
        <w:spacing w:before="12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each of our executive officers entered into a Key Employee Retention Agreement (the “Key Employee Agreement”) effective May 6, 2026. The Key Employee Agreements supersede and replace the Change in Control Retention Agreements between us and each of our executive officers. The Key Employee Agreements add severance terms for our executive officers if their employment terms end under certain circumstances unrelated to a “Change in Control” of the Company, as described below. In addition, the Key Employee Agreements modify the severance terms for our executive officers other than Gary S. Gillheeney, Sr. in connection with a “Change in Control,” as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Key Employee Agreement, if the executive’s employment is terminated during the twenty-four month period following a “Change in Control” (a) by us without “Cause” or (b) by the executive upon the occurrence of an “Event of Constructive Termination” (as those terms are defined in the Key Employee Agreement), the executive will receive from us: (i) a lump-sum amount equal to one and a half times (two times in the case of Mr. Gillheeney) the executive’s base annual salary and the executive’s annual target bonus, in each case at the highest rate in effect at any time during the 12 months immediately preceding the termination of the executive’s employment with us; (ii) for up to 18 months (24 months in the case of Mr. Gillheeney) following the executive’s termination of employment, payment of the difference between the cost of COBRA continuation coverage for the executive and any dependent who received health insurance coverage prior to such termination, and any premium contribution amount applicable to the executive as of such termination; and (iii) full acceleration of the vesting of any time-based equity awards held by the executive.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pursuant to the Key Employee Agreement, if the executive’s employment is terminated prior to a Change in Control or after the 24-month anniversary of a Change in Control (a) by us without Cause or (b) by the executive upon the occurrence of an Event of Constructive Termination, the executive will receive from us: (i) one times (one and half times in the case of Mr. Gillheeney) the executive’s base annual salary at the highest rate in effect at any time during the 12 months immediately preceding the termination of the executive’s employment, which will be paid to the executive in substantially equal installments over 12 months (18 months in the case of Mr. Gillheeney) following the executive’s termination of employment and (ii) for up to 12 months (18 months in the case of Mr. Gillheeney) following the executive’s termination of employment, payment of the difference between the cost of COBRA continuation coverage for the executive and any dependent who received health insurance coverage prior to such termination, and any premium contribution amount applicable to the executive as of such termination.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 to provide the foregoing benefits is subject to the executive entering into a new noncompetition agreement with us and the effectiveness of a release of claims executed by the executive in favor of us.</w:t>
      </w:r>
    </w:p>
    <w:p>
      <w:pPr>
        <w:pStyle w:val="TextBody"/>
        <w:bidi w:val="0"/>
        <w:spacing w:before="120" w:after="283"/>
        <w:jc w:val="left"/>
        <w:rPr>
          <w:rFonts w:ascii="Times New Roman" w:hAnsi="Times New Roman"/>
          <w:sz w:val="20"/>
        </w:rPr>
      </w:pPr>
      <w:r>
        <w:rPr>
          <w:rFonts w:ascii="Times New Roman" w:hAnsi="Times New Roman"/>
          <w:color w:val="000000"/>
          <w:sz w:val="20"/>
        </w:rPr>
        <w:t>Copies of the Key Employee Agreement with Mr. Gillheeney and the form of Key Employee Agreement with our executive officers other than Mr. Gillheeney are attached as Exhibit 10.1 and Exhibit 10.2 to this Report. The foregoing summaries of these Agreements are qualified in their entirety by reference to the actual Agreements</w:t>
      </w:r>
      <w:r>
        <w:rPr>
          <w:rFonts w:ascii="Times New Roman" w:hAnsi="Times New Roman"/>
          <w:color w:val="000000"/>
          <w:sz w:val="24"/>
        </w:rPr>
        <w:t>.</w:t>
      </w:r>
    </w:p>
    <w:p>
      <w:pPr>
        <w:pStyle w:val="TextBody"/>
        <w:bidi w:val="0"/>
        <w:spacing w:before="120" w:after="283"/>
        <w:jc w:val="left"/>
        <w:rPr>
          <w:rFonts w:ascii="Times New Roman" w:hAnsi="Times New Roman"/>
          <w:sz w:val="20"/>
        </w:rPr>
      </w:pPr>
      <w:r>
        <w:rPr>
          <w:rFonts w:ascii="Times New Roman" w:hAnsi="Times New Roman"/>
          <w:color w:val="000000"/>
          <w:sz w:val="20"/>
        </w:rPr>
        <w:t>During the three months ended March 31, 2026, no director or officer of the Company adopted or terminated a “Rule 10b5-1 trading arrangement” or “non-rule 10b5-1 trading arrangement,” as each term is defined in Item 408(a) of Regulation S-K</w:t>
      </w:r>
      <w:r>
        <w:rPr>
          <w:rFonts w:ascii="Times New Roman" w:hAnsi="Times New Roman"/>
          <w:color w:val="000000"/>
          <w:sz w:val="24"/>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2"/>
        <w:gridCol w:w="247"/>
        <w:gridCol w:w="9156"/>
      </w:tblGrid>
      <w:tr>
        <w:trPr/>
        <w:tc>
          <w:tcPr>
            <w:tcW w:w="8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56" w:type="dxa"/>
            <w:tcBorders/>
            <w:vAlign w:val="center"/>
          </w:tcPr>
          <w:p>
            <w:pPr>
              <w:pStyle w:val="TableContents"/>
              <w:bidi w:val="0"/>
              <w:spacing w:before="0" w:after="283"/>
              <w:jc w:val="left"/>
              <w:rPr>
                <w:sz w:val="4"/>
                <w:szCs w:val="4"/>
              </w:rPr>
            </w:pPr>
            <w:r>
              <w:rPr>
                <w:sz w:val="4"/>
                <w:szCs w:val="4"/>
              </w:rPr>
            </w:r>
          </w:p>
        </w:tc>
      </w:tr>
      <w:tr>
        <w:trPr/>
        <w:tc>
          <w:tcPr>
            <w:tcW w:w="80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p>
        </w:tc>
        <w:tc>
          <w:tcPr>
            <w:tcW w:w="24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3.1</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r:id="rId2">
              <w:r>
                <w:rPr>
                  <w:rStyle w:val="InternetLink"/>
                  <w:rFonts w:ascii="Times New Roman" w:hAnsi="Times New Roman"/>
                  <w:color w:val="0000FF"/>
                  <w:sz w:val="20"/>
                  <w:u w:val="single"/>
                </w:rPr>
                <w:t>Certificate of Incorporation of Organogenesis Holdings Inc. (incorporated by reference to Exhibit 3.1 to the Company’s Registration Statement on Form S-3/A (File No. 333-233621) filed with the SEC on September 16, 2019)</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3.2</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r:id="rId3">
              <w:r>
                <w:rPr>
                  <w:rStyle w:val="InternetLink"/>
                  <w:rFonts w:ascii="Times New Roman" w:hAnsi="Times New Roman"/>
                  <w:color w:val="0000FF"/>
                  <w:sz w:val="20"/>
                  <w:u w:val="single"/>
                </w:rPr>
                <w:t>Certificate of Amendment of Certificate of Incorporation of Organogenesis Holdings Inc. (incorporated by reference to Exhibit 3.1 to the Company’s Current Report on Form 8-K (File No. 001-37906) filed with the SEC on June 27, 2022)</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3.3</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r:id="rId4">
              <w:r>
                <w:rPr>
                  <w:rStyle w:val="InternetLink"/>
                  <w:rFonts w:ascii="Times New Roman" w:hAnsi="Times New Roman"/>
                  <w:color w:val="0000FF"/>
                  <w:sz w:val="20"/>
                  <w:u w:val="single"/>
                </w:rPr>
                <w:t>Certificate of Designations of Series A Convertible Preferred Stock (incorporated by reference to Exhibit 3.3 to the Company’s Quarterly Report on Form 10-Q (File No. 001-37906) filed with the SEC on November 12, 2024)</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3.4</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r:id="rId5">
              <w:r>
                <w:rPr>
                  <w:rStyle w:val="InternetLink"/>
                  <w:rFonts w:ascii="Times New Roman" w:hAnsi="Times New Roman"/>
                  <w:color w:val="0000FF"/>
                  <w:sz w:val="20"/>
                  <w:u w:val="single"/>
                </w:rPr>
                <w:t>Bylaws of Organogenesis Holdings Inc. (incorporated by reference to Exhibit 3.2 to the Company’s Registration Statement on Form S-3/A (File No. 333-233621) filed with the SEC on September 16, 2019)</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orgo-ex10_1.htm">
              <w:r>
                <w:rPr>
                  <w:rStyle w:val="InternetLink"/>
                  <w:rFonts w:ascii="Times New Roman" w:hAnsi="Times New Roman"/>
                  <w:color w:val="0000FF"/>
                  <w:sz w:val="20"/>
                  <w:u w:val="single"/>
                </w:rPr>
                <w:t>Key Employee Retention Agreement dated as of May 6, 2026, by and between Organogenesis Holdings Inc. and Gary S. Gillheeney Sr.</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10.2</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orgo-ex10_2.htm">
              <w:r>
                <w:rPr>
                  <w:rStyle w:val="InternetLink"/>
                  <w:rFonts w:ascii="Times New Roman" w:hAnsi="Times New Roman"/>
                  <w:color w:val="0000FF"/>
                  <w:sz w:val="20"/>
                  <w:u w:val="single"/>
                </w:rPr>
                <w:t>Form of Key Employee Retention Agreement (Non-CEO Executive Officers)</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31.1</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orgo-ex31_1.htm">
              <w:r>
                <w:rPr>
                  <w:rStyle w:val="InternetLink"/>
                  <w:rFonts w:ascii="Times New Roman" w:hAnsi="Times New Roman"/>
                  <w:color w:val="0000FF"/>
                  <w:sz w:val="20"/>
                  <w:u w:val="single"/>
                </w:rPr>
                <w:t>Certification of Principal Executive Officer pursuant to Rule 13a-14(a) or Rule 15d-14(a) of the Securities Exchange Act of 1934, as adopted pursuant to Section 302 of the Sarbanes-Oxley Act of 2002</w:t>
              </w:r>
            </w:hyperlink>
            <w:hyperlink w:anchor="orgo-ex31_1.htm">
              <w:r>
                <w:rPr>
                  <w:rStyle w:val="InternetLink"/>
                  <w:rFonts w:ascii="Times New Roman" w:hAnsi="Times New Roman"/>
                  <w:color w:val="0000FF"/>
                  <w:sz w:val="20"/>
                </w:rPr>
                <w:t xml:space="preserve"> </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31.2</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orgo-ex31_2.htm">
              <w:r>
                <w:rPr>
                  <w:rStyle w:val="InternetLink"/>
                  <w:rFonts w:ascii="Times New Roman" w:hAnsi="Times New Roman"/>
                  <w:color w:val="0000FF"/>
                  <w:sz w:val="20"/>
                  <w:u w:val="single"/>
                </w:rPr>
                <w:t>Certification of Principal Financial Officer pursuant to Rule 13a-14(a) or Rule 15d-14(a) of the Securities Exchange Act of 1934, as adopted pursuant to Section 302 of the Sarbanes-Oxley Act of 2002</w:t>
              </w:r>
            </w:hyperlink>
            <w:hyperlink w:anchor="orgo-ex31_2.htm">
              <w:r>
                <w:rPr>
                  <w:rStyle w:val="InternetLink"/>
                  <w:rFonts w:ascii="Times New Roman" w:hAnsi="Times New Roman"/>
                  <w:color w:val="0000FF"/>
                  <w:sz w:val="20"/>
                </w:rPr>
                <w:t xml:space="preserve"> </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32.1</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org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hyperlink w:anchor="orgo-ex32_1.htm">
              <w:r>
                <w:rPr>
                  <w:rStyle w:val="InternetLink"/>
                  <w:rFonts w:ascii="Times New Roman" w:hAnsi="Times New Roman"/>
                  <w:color w:val="0000FF"/>
                  <w:sz w:val="20"/>
                </w:rPr>
                <w:t xml:space="preserve"> </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101.INS</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Instance Document XBRL</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101.SCH</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101.CAL</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101.DEF</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101.LAB</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101.PRE</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104</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Filed herewith.</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4468" w:type="dxa"/>
        <w:jc w:val="left"/>
        <w:tblInd w:w="0" w:type="dxa"/>
        <w:tblLayout w:type="fixed"/>
        <w:tblCellMar>
          <w:top w:w="28" w:type="dxa"/>
          <w:left w:w="28" w:type="dxa"/>
          <w:bottom w:w="28" w:type="dxa"/>
          <w:right w:w="28" w:type="dxa"/>
        </w:tblCellMar>
      </w:tblPr>
      <w:tblGrid>
        <w:gridCol w:w="1741"/>
        <w:gridCol w:w="146"/>
        <w:gridCol w:w="258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Organogenesis Holdings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Francisco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Francisco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orgo-ex10_1.htm"/>
      <w:bookmarkStart w:id="23" w:name="ksorgoex10_1"/>
      <w:bookmarkEnd w:id="22"/>
      <w:bookmarkEnd w:id="23"/>
      <w:r>
        <w:rPr>
          <w:rFonts w:ascii="Times New Roman" w:hAnsi="Times New Roman"/>
          <w:b/>
          <w:color w:val="000000"/>
          <w:sz w:val="24"/>
          <w:u w:val="single"/>
        </w:rPr>
        <w:t>Exhibit 10.1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KEY EMPLOYEE RETENTION AGREEMENT</w:t>
      </w:r>
    </w:p>
    <w:p>
      <w:pPr>
        <w:pStyle w:val="TextBody"/>
        <w:bidi w:val="0"/>
        <w:spacing w:before="240" w:after="283"/>
        <w:jc w:val="left"/>
        <w:rPr>
          <w:rFonts w:ascii="Times New Roman" w:hAnsi="Times New Roman"/>
          <w:sz w:val="20"/>
        </w:rPr>
      </w:pPr>
      <w:r>
        <w:rPr>
          <w:rFonts w:ascii="Times New Roman" w:hAnsi="Times New Roman"/>
          <w:color w:val="000000"/>
          <w:sz w:val="24"/>
        </w:rPr>
        <w:t>This Key Employee Retention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entered into as of May 6, 2026, by and between Organogenesis Holdings Inc., a Delaware corporation with its principal offices located at 85 Dan Road, Canton, Massachusetts 02021 (together with its successors and assigns, the "</w:t>
      </w:r>
      <w:r>
        <w:rPr>
          <w:rFonts w:ascii="Times New Roman" w:hAnsi="Times New Roman"/>
          <w:color w:val="000000"/>
          <w:sz w:val="24"/>
          <w:u w:val="single"/>
        </w:rPr>
        <w:t>Company</w:t>
      </w:r>
      <w:r>
        <w:rPr>
          <w:rFonts w:ascii="Times New Roman" w:hAnsi="Times New Roman"/>
          <w:color w:val="000000"/>
          <w:sz w:val="24"/>
        </w:rPr>
        <w:t>"), and Gary S. Gillheeney, Sr. (the "</w:t>
      </w:r>
      <w:r>
        <w:rPr>
          <w:rFonts w:ascii="Times New Roman" w:hAnsi="Times New Roman"/>
          <w:color w:val="000000"/>
          <w:sz w:val="24"/>
          <w:u w:val="single"/>
        </w:rPr>
        <w:t>Executive</w:t>
      </w:r>
      <w:r>
        <w:rPr>
          <w:rFonts w:ascii="Times New Roman" w:hAnsi="Times New Roman"/>
          <w:color w:val="000000"/>
          <w:sz w:val="24"/>
        </w:rPr>
        <w:t>"). This Agreement supersedes and replaces that certain Change in Control Retention Agreement dated as of May 10, 2021, by and between the Company and the Executive (the “</w:t>
      </w:r>
      <w:r>
        <w:rPr>
          <w:rFonts w:ascii="Times New Roman" w:hAnsi="Times New Roman"/>
          <w:color w:val="000000"/>
          <w:sz w:val="24"/>
          <w:u w:val="single"/>
        </w:rPr>
        <w:t>CIC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WHEREAS, the Executive is currently employed by the Company as Chief Executive Officer and President; and</w:t>
      </w:r>
    </w:p>
    <w:p>
      <w:pPr>
        <w:pStyle w:val="TextBody"/>
        <w:bidi w:val="0"/>
        <w:spacing w:before="240" w:after="283"/>
        <w:jc w:val="left"/>
        <w:rPr>
          <w:rFonts w:ascii="Times New Roman" w:hAnsi="Times New Roman"/>
          <w:sz w:val="20"/>
        </w:rPr>
      </w:pPr>
      <w:r>
        <w:rPr>
          <w:rFonts w:ascii="Times New Roman" w:hAnsi="Times New Roman"/>
          <w:color w:val="000000"/>
          <w:sz w:val="24"/>
        </w:rPr>
        <w:t>WHEREAS,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after a recommendation from the Compensation Committee of the Board, has determined that it is in the best interests of the Company and its stockholders (i) to assure that the Company will have the continued dedication of the Executive, notwithstanding the possibility, threat or occurrence of a Change in Control (as defined below) of the Company and (ii) to provide the Executive certain severance benefits in the event the Executive’s employment with the Company terminates under certain circumstances as set forth herein;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NOW, THEREFORE, in consideration of the mutual covenants and agreements set forth herein, the parties agree as follows: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Termination of Employment Following a Change in Control</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Definition of Terms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color w:val="000000"/>
        </w:rPr>
        <w:t>“</w:t>
      </w:r>
      <w:r>
        <w:rPr>
          <w:rFonts w:ascii="Times New Roman" w:hAnsi="Times New Roman"/>
          <w:color w:val="000000"/>
          <w:sz w:val="24"/>
          <w:u w:val="single"/>
        </w:rPr>
        <w:t>Accelerated Vesting Benefit</w:t>
      </w:r>
      <w:r>
        <w:rPr>
          <w:color w:val="000000"/>
        </w:rPr>
        <w:t xml:space="preserve">” </w:t>
      </w:r>
      <w:r>
        <w:rPr>
          <w:rFonts w:ascii="Times New Roman" w:hAnsi="Times New Roman"/>
          <w:color w:val="000000"/>
          <w:sz w:val="24"/>
        </w:rPr>
        <w:t>shall mean that, notwithstanding anything to the contrary in any applicable option agreement or stock-based award agreement, all time-based stock options and other time-based stock-based awards held by the Executive shall immediately accelerate and become fully exercisable, vested or nonforfeitable as of the date of the Executive’s termination of employment with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rPr>
        <w:t>"</w:t>
      </w:r>
      <w:r>
        <w:rPr>
          <w:rFonts w:ascii="Times New Roman" w:hAnsi="Times New Roman"/>
          <w:color w:val="000000"/>
          <w:sz w:val="24"/>
          <w:u w:val="single"/>
        </w:rPr>
        <w:t>Change in Control</w:t>
      </w:r>
      <w:r>
        <w:rPr>
          <w:rFonts w:ascii="Times New Roman" w:hAnsi="Times New Roman"/>
          <w:color w:val="000000"/>
          <w:sz w:val="24"/>
        </w:rPr>
        <w:t>" shall mean the occurrence of any of the following: (i) the acquisition by an individual, entity, group or any other person of beneficial ownership of more than fifty percent (50%) or more of either (x) the then-outstanding shares of common stock of the Company or (y) the combined voting power of the election of directors for the Company; and/or (ii) the sale of substantially all of the Company's assets or a merger or sale of stock wherein the holders of the Company's capital stock immediately prior to such sale do not hold at least a majority of the outstanding capital stock of the Company or its successor immediately following such sale; (iii) the Company’s stockholders approve and complete any plan or proposal for the liquidation or dissolution of the Company; and/or (iv) individuals who, as of the date hereof, constitute the Board (the "</w:t>
      </w:r>
      <w:r>
        <w:rPr>
          <w:rFonts w:ascii="Times New Roman" w:hAnsi="Times New Roman"/>
          <w:color w:val="000000"/>
          <w:sz w:val="24"/>
          <w:u w:val="single"/>
        </w:rPr>
        <w:t>Incumbent Board</w:t>
      </w:r>
      <w:r>
        <w:rPr>
          <w:rFonts w:ascii="Times New Roman" w:hAnsi="Times New Roman"/>
          <w:color w:val="000000"/>
          <w:sz w:val="24"/>
        </w:rPr>
        <w:t xml:space="preserve">") cease for any reason to constitute at least a majority of the Board; provided, however, that any individual becoming a director subsequently to the date hereof whose election, or nomination for election by the Company's stockholders, was approved by a vote of at least a majority of the directors then comprising the Incumbent Board shall be considered as though such individual were a member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of the Incumbent Board, but excluding, for this purpose, any such individual whose initial assumption of office occurs as result of an actual or threatened election contest with respect to the election or removal of directors or other actual or threatened solicitation of proxies or consents by or on behalf of a person other than the Board.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color w:val="000000"/>
        </w:rPr>
        <w:t>“</w:t>
      </w:r>
      <w:r>
        <w:rPr>
          <w:rFonts w:ascii="Times New Roman" w:hAnsi="Times New Roman"/>
          <w:color w:val="000000"/>
          <w:sz w:val="24"/>
          <w:u w:val="single"/>
        </w:rPr>
        <w:t>CIC Severance Amount</w:t>
      </w:r>
      <w:r>
        <w:rPr>
          <w:color w:val="000000"/>
        </w:rPr>
        <w:t xml:space="preserve">” </w:t>
      </w:r>
      <w:r>
        <w:rPr>
          <w:rFonts w:ascii="Times New Roman" w:hAnsi="Times New Roman"/>
          <w:color w:val="000000"/>
          <w:sz w:val="24"/>
        </w:rPr>
        <w:t>shall be an amount equal to two times the sum of (i) the Executive’s base annual salary and (ii) the Executive’s annual target bonus, in each case at the highest rate in effect at any time during the 12 months immediately preceding the termination of the Executive’s employment with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color w:val="000000"/>
        </w:rPr>
        <w:t>“</w:t>
      </w:r>
      <w:r>
        <w:rPr>
          <w:rFonts w:ascii="Times New Roman" w:hAnsi="Times New Roman"/>
          <w:color w:val="000000"/>
          <w:sz w:val="24"/>
          <w:u w:val="single"/>
        </w:rPr>
        <w:t>Continuation Benefits</w:t>
      </w:r>
      <w:r>
        <w:rPr>
          <w:color w:val="000000"/>
        </w:rPr>
        <w:t xml:space="preserve">” </w:t>
      </w:r>
      <w:r>
        <w:rPr>
          <w:rFonts w:ascii="Times New Roman" w:hAnsi="Times New Roman"/>
          <w:color w:val="000000"/>
          <w:sz w:val="24"/>
        </w:rPr>
        <w:t xml:space="preserve">shall consist of the Company paying the difference between the cost of COBRA continuation coverage, should the Executive elect to receive it, for the Executive and any dependent who received health insurance coverage prior to termination of the Executive’s employment with the Company, and any premium contribution amount applicable to the Executive as of such termination, for a specified period following the date of termination of the Executive’s employment with the Company. Continuation Benefits otherwise receivable by the Executive will be reduced to the extent benefits of the same type are received by the Executive during such specified period (and any such benefits received by the Executive shall be reported by the Executive to the Company).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40"/>
        <w:jc w:val="both"/>
        <w:rPr/>
      </w:pPr>
      <w:r>
        <w:rPr>
          <w:rFonts w:ascii="Times New Roman" w:hAnsi="Times New Roman"/>
          <w:color w:val="000000"/>
          <w:sz w:val="24"/>
        </w:rPr>
        <w:t>An "</w:t>
      </w:r>
      <w:r>
        <w:rPr>
          <w:rFonts w:ascii="Times New Roman" w:hAnsi="Times New Roman"/>
          <w:color w:val="000000"/>
          <w:sz w:val="24"/>
          <w:u w:val="single"/>
        </w:rPr>
        <w:t>Event of Constructive Termination</w:t>
      </w:r>
      <w:r>
        <w:rPr>
          <w:rFonts w:ascii="Times New Roman" w:hAnsi="Times New Roman"/>
          <w:color w:val="000000"/>
          <w:sz w:val="24"/>
        </w:rPr>
        <w:t xml:space="preserve">" shall mean the occurrence of any of the following events: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relocation of the Executive's principal workplace to a location more than 50 miles from the location of the Executive’s prior workplace without the Executive's express written consent;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material diminution in the Executive’s authority, duties or responsibilities, provided that, a material diminution of the Executive’s authority, duties or responsibilities shall be deemed to have occurred if the Executive ceases to have such authorities, duties or responsibilities with respect to the entity which is the ultimate parent entity of the Company following a Change in Control;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material diminution in the Executive's compensation or benefits without the express written consent of the Executive; or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(iv)</w:t>
      </w:r>
    </w:p>
    <w:p>
      <w:pPr>
        <w:pStyle w:val="TextBody"/>
        <w:bidi w:val="0"/>
        <w:jc w:val="left"/>
        <w:rPr>
          <w:rFonts w:ascii="Times New Roman" w:hAnsi="Times New Roman"/>
          <w:color w:val="000000"/>
          <w:sz w:val="24"/>
        </w:rPr>
      </w:pPr>
      <w:r>
        <w:rPr>
          <w:rFonts w:ascii="Times New Roman" w:hAnsi="Times New Roman"/>
          <w:color w:val="000000"/>
          <w:sz w:val="24"/>
        </w:rPr>
        <w:t xml:space="preserve">any other action or inaction that constitutes a material breach by the Company of any written agreement under which the Executive provides services to the Company; </w:t>
      </w:r>
    </w:p>
    <w:p>
      <w:pPr>
        <w:pStyle w:val="TextBody"/>
        <w:bidi w:val="0"/>
        <w:spacing w:before="240" w:after="240"/>
        <w:jc w:val="left"/>
        <w:rPr>
          <w:rFonts w:ascii="Times New Roman" w:hAnsi="Times New Roman"/>
          <w:sz w:val="20"/>
        </w:rPr>
      </w:pPr>
      <w:r>
        <w:rPr>
          <w:rFonts w:ascii="Times New Roman" w:hAnsi="Times New Roman"/>
          <w:color w:val="000000"/>
          <w:sz w:val="24"/>
        </w:rPr>
        <w:t>provided, that no such event or occurrence shall constitute an Event of Constructive Termination unless (x) written notice thereof is given by the Executive to the Company within ninety (90) days of its occurrence, (y) the Company shall fail to remedy or cure such event or occurrence within thirty (30) days following its receipt of such notice from the Executive, and (z) the Executive shall within sixty (60) days after the expiration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such 30-day period give written notice to the Company of the Executive’s election to terminate the Executive’s employment pursuant to this paragraph by reason of such event or occurrence.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0"/>
        <w:jc w:val="left"/>
        <w:rPr/>
      </w:pPr>
      <w:r>
        <w:rPr>
          <w:color w:val="000000"/>
        </w:rPr>
        <w:t>“</w:t>
      </w:r>
      <w:r>
        <w:rPr>
          <w:rFonts w:ascii="Times New Roman" w:hAnsi="Times New Roman"/>
          <w:color w:val="000000"/>
          <w:sz w:val="24"/>
          <w:u w:val="single"/>
        </w:rPr>
        <w:t>Non-CIC Severance Amount</w:t>
      </w:r>
      <w:r>
        <w:rPr>
          <w:color w:val="000000"/>
        </w:rPr>
        <w:t xml:space="preserve">” </w:t>
      </w:r>
      <w:r>
        <w:rPr>
          <w:rFonts w:ascii="Times New Roman" w:hAnsi="Times New Roman"/>
          <w:color w:val="000000"/>
          <w:sz w:val="24"/>
        </w:rPr>
        <w:t>shall be an amount equal to one and a half times the Executive’s base annual salary at the highest rate in effect at any time during the 12 months immediately preceding the termination of the Executive’s employment with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left"/>
        <w:rPr/>
      </w:pPr>
      <w:r>
        <w:rPr>
          <w:rFonts w:ascii="Times New Roman" w:hAnsi="Times New Roman"/>
          <w:color w:val="000000"/>
          <w:sz w:val="24"/>
          <w:u w:val="single"/>
        </w:rPr>
        <w:t>Termination for Cause</w:t>
      </w:r>
      <w:r>
        <w:rPr>
          <w:rFonts w:ascii="Times New Roman" w:hAnsi="Times New Roman"/>
          <w:color w:val="000000"/>
          <w:sz w:val="24"/>
        </w:rPr>
        <w:t>. In the event of termination of the Executive's employment for Cause, all compensation of the Executive and any other rights the Executive may have under this Agreement shall cease upon the termination date of the Executive’s employment, the Executive shall receive no Non-CIC Severance Amount, no CIC Severance Amount, no Continuation Benefits, no Accelerated Vesting Benefit and no further payments or benefits shall be paid or payable to the Executive by the Company for any period thereafter, except to the extent that the Executive shall have accrued benefits under any retirement plan adopted by the Company for the benefit of its employees and except for all compensation owing hereunder to the Executive as of the date of termination for Cause.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For purposes of this Agreement, "</w:t>
      </w:r>
      <w:r>
        <w:rPr>
          <w:rFonts w:ascii="Times New Roman" w:hAnsi="Times New Roman"/>
          <w:b w:val="false"/>
          <w:color w:val="000000"/>
          <w:sz w:val="24"/>
          <w:u w:val="single"/>
        </w:rPr>
        <w:t>Cause</w:t>
      </w:r>
      <w:r>
        <w:rPr>
          <w:rFonts w:ascii="Times New Roman" w:hAnsi="Times New Roman"/>
          <w:b w:val="false"/>
          <w:color w:val="000000"/>
          <w:sz w:val="24"/>
        </w:rPr>
        <w:t>" shall mean: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Executive has been charged by the United States or a state or political subdivision thereof with conduct which is a felony or which is a misdemeanor involving moral turpitude, deceit, dishonesty or fraud under the laws of the United States or any state or political subdivision thereof;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fraud or embezzlement by the Executive with respect to funds of the Company or dishonest, unethical or improper conduct by the Executive that has had, or is reasonably likely to have, a material adverse impact on the reputation for honesty and fair dealing of the Company;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Executive’s failure to comply with lawful instructions not inconsistent with this Agreement given to the Executive by the Board, which failure is not cured or corrected within thirty (30) days after the Executive’s receipt of written notice from the Company referring to this paragraph and describing with specificity the instructions with which the Executive did not comply;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Executive’s material failure to comply with reasonable policies, directives, standards and regulations adopted by the Company, including, without limitation, the Company’s policies regarding insider trading, except any such failure, that, if capable of cure, is remedied by the Executive within thirty (30) days after the Executive’s receipt of written notice from the Company referring to this paragraph and describing with specificity the failure of the Executive to comply;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pPr>
      <w:r>
        <w:rPr>
          <w:rFonts w:ascii="Times New Roman" w:hAnsi="Times New Roman"/>
          <w:color w:val="000000"/>
          <w:sz w:val="24"/>
        </w:rPr>
        <w:t>material breach by the Executive of the Invention, Non-Disclosure and Non-Competition Agreement by and between the Executive and the Company (the “</w:t>
      </w:r>
      <w:r>
        <w:rPr>
          <w:rFonts w:ascii="Times New Roman" w:hAnsi="Times New Roman"/>
          <w:color w:val="000000"/>
          <w:sz w:val="24"/>
          <w:u w:val="single"/>
        </w:rPr>
        <w:t>Employee Agreement</w:t>
      </w:r>
      <w:r>
        <w:rPr>
          <w:color w:val="000000"/>
        </w:rPr>
        <w:t>”</w:t>
      </w:r>
      <w:r>
        <w:rPr>
          <w:rFonts w:ascii="Times New Roman" w:hAnsi="Times New Roman"/>
          <w:color w:val="000000"/>
          <w:sz w:val="24"/>
        </w:rPr>
        <w:t xml:space="preserve">) or any other written agreement between the Executive and the Company, except any such breach, that, if capable of cure, is remedied by the Executive within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thirty (30) days after the Executive’s receipt of written notice from the Company referring to this paragraph and describing with specificity the breach by the Executive.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left"/>
        <w:rPr/>
      </w:pPr>
      <w:r>
        <w:rPr>
          <w:rFonts w:ascii="Times New Roman" w:hAnsi="Times New Roman"/>
          <w:color w:val="000000"/>
          <w:sz w:val="24"/>
          <w:u w:val="single"/>
        </w:rPr>
        <w:t>Voluntary Termination by Executive</w:t>
      </w: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The Executive may voluntarily terminate the Executive’s employment at any time by written notice to the Company, in which case the Executive shall receive no Non-CIC Severance Amount, no CIC Severance Amount, no Continuation Benefits, no Accelerated Vesting Benefit and no further payments or benefits shall be paid or payable to the Executive by the Company for any period after such termination of employment, except to the extent that the Executive shall have accrued benefits under any plan adopted by the Company for the benefit of its employees generally and except for all compensation owing hereunder to the Executive as of the date of voluntary termination.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rFonts w:ascii="Times New Roman" w:hAnsi="Times New Roman"/>
          <w:color w:val="000000"/>
          <w:sz w:val="24"/>
        </w:rPr>
      </w:pPr>
      <w:r>
        <w:rPr>
          <w:rFonts w:ascii="Times New Roman" w:hAnsi="Times New Roman"/>
          <w:color w:val="000000"/>
          <w:sz w:val="24"/>
        </w:rPr>
        <w:t xml:space="preserve">Notwithstanding the foregoing: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upon the occurrence of an Event of Constructive Termination at any time during the 24-month period following a Change in Control, the Executive may, by written notice to the Company pursuant to clause (z) of Section 1.1(e) above, voluntarily terminate the Executive’s employment with the Company, and in such event: (i) the Company shall pay to the Executive in a lump sum on the next regularly-scheduled payroll date following the Release Effective Date (as defined below) the CIC Severance Amount, plus all other compensation, including, without limitation, any commissions earned but not yet paid, owed by the Company to the Executive as of the date of the Executive’s termination; (ii) the Company shall provide to the Executive the Continuation Benefits for a period of 24 months following such termination; and (iii) the Executive shall receive the Accelerated Vesting Benefit as of such date of termination;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upon the occurrence of an Event of Constructive Termination at any time prior to a Change in Control or at any time after the 24-month anniversary of a Change in Control, the Executive may, by written notice to the Company pursuant to clause (z) of Section 1.1(e) above, voluntarily terminate the Executive’s employment with the Company, and in such event: (i) the Company shall pay to the Executive the Non-CIC Severance Amount in substantially equal installments in accordance with the Company's payroll practice over eighteen months beginning on the next regularly-scheduled payroll date following the Release Effective Date, plus all other compensation, including, without limitation, any commissions earned but not yet paid, owed by the Company to the Executive as of the date of the Executive’s termination and (ii) the Company shall provide to the Executive the Continuation Benefits for a period of 18 months following such termination.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left"/>
        <w:rPr/>
      </w:pPr>
      <w:r>
        <w:rPr>
          <w:rFonts w:ascii="Times New Roman" w:hAnsi="Times New Roman"/>
          <w:color w:val="000000"/>
          <w:sz w:val="24"/>
          <w:u w:val="single"/>
        </w:rPr>
        <w:t>Termination by the Company without Cause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the event that the Executive's employment under this Agreement is terminated by the Company other than for Cause at any time during the 24-month period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following a Change in Control, then: (i) the Company shall pay to the Executive in a lump sum on the next regularly-scheduled payroll date following the Release Effective Date the CIC Severance Amount, plus all other compensation, including, without limitation, any commissions earned but not yet paid, owed by the Company to the Executive as of the date of the Executive’s termination; (ii) the Company shall provide to the Executive the Continuation Benefits for a period of 24 months following such termination; and (iii)</w:t>
      </w:r>
      <w:r>
        <w:rPr>
          <w:color w:val="000000"/>
        </w:rPr>
        <w:t xml:space="preserve"> </w:t>
      </w:r>
      <w:r>
        <w:rPr>
          <w:rFonts w:ascii="Times New Roman" w:hAnsi="Times New Roman"/>
          <w:color w:val="000000"/>
          <w:sz w:val="24"/>
        </w:rPr>
        <w:t>the Executive shall receive the Accelerated Vesting Benefit as of such date of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Executive's employment under this Agreement is terminated by the Company other than for Cause at any time prior to a Change in Control or at any time after the 24-month anniversary of a Change in Control, then: (i), the Company shall pay to the Executive the Non-CIC Severance Amount in substantially equal installments in accordance with the Company's payroll practice over eighteen months beginning on the next regularly-scheduled payroll date following the Release Effective Date, plus all other compensation, including, without limitation, any commissions earned but not yet paid, owed by the Company to the Executive as of the date of the Executive’s termination and (ii) the Company shall provide to the Executive the Continuation Benefits for a period of 18 months following such termination.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pPr>
      <w:r>
        <w:rPr>
          <w:rFonts w:ascii="Times New Roman" w:hAnsi="Times New Roman"/>
          <w:color w:val="000000"/>
          <w:sz w:val="24"/>
          <w:u w:val="single"/>
        </w:rPr>
        <w:t>Other Provisions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left"/>
        <w:rPr/>
      </w:pPr>
      <w:r>
        <w:rPr>
          <w:rFonts w:ascii="Times New Roman" w:hAnsi="Times New Roman"/>
          <w:color w:val="000000"/>
          <w:sz w:val="24"/>
          <w:u w:val="single"/>
        </w:rPr>
        <w:t>Amounts Payable Less Withholding Taxes</w:t>
      </w:r>
      <w:r>
        <w:rPr>
          <w:rFonts w:ascii="Times New Roman" w:hAnsi="Times New Roman"/>
          <w:color w:val="000000"/>
          <w:sz w:val="24"/>
        </w:rPr>
        <w:t>. The amounts payable by the Company hereunder shall be less any applicable withholding for federal, state or local income and employment taxes.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Parachute Payments</w:t>
      </w:r>
      <w:r>
        <w:rPr>
          <w:rFonts w:ascii="Times New Roman" w:hAnsi="Times New Roman"/>
          <w:color w:val="000000"/>
          <w:sz w:val="24"/>
        </w:rPr>
        <w:t>. In the event that the Non-CIC Severance Amount, the CIC Severance Amount, the Continuation Benefits, the Accelerated Vesting Benefits and other benefits provided for in this Agreement or otherwise payable to the Executive (i) constitute “parachute payments” within the meaning of Section 280G of the Internal Revenue Code of 1986, as amended (the “</w:t>
      </w:r>
      <w:r>
        <w:rPr>
          <w:rFonts w:ascii="Times New Roman" w:hAnsi="Times New Roman"/>
          <w:color w:val="000000"/>
          <w:sz w:val="24"/>
          <w:u w:val="single"/>
        </w:rPr>
        <w:t>Code</w:t>
      </w:r>
      <w:r>
        <w:rPr>
          <w:color w:val="000000"/>
        </w:rPr>
        <w:t>”</w:t>
      </w:r>
      <w:r>
        <w:rPr>
          <w:rFonts w:ascii="Times New Roman" w:hAnsi="Times New Roman"/>
          <w:color w:val="000000"/>
          <w:sz w:val="24"/>
        </w:rPr>
        <w:t>), and (ii) would be subject to the excise tax imposed by Section 4999 of the Code (the “</w:t>
      </w:r>
      <w:r>
        <w:rPr>
          <w:rFonts w:ascii="Times New Roman" w:hAnsi="Times New Roman"/>
          <w:color w:val="000000"/>
          <w:sz w:val="24"/>
          <w:u w:val="single"/>
        </w:rPr>
        <w:t>Excise Tax</w:t>
      </w:r>
      <w:r>
        <w:rPr>
          <w:color w:val="000000"/>
        </w:rPr>
        <w:t>”</w:t>
      </w:r>
      <w:r>
        <w:rPr>
          <w:rFonts w:ascii="Times New Roman" w:hAnsi="Times New Roman"/>
          <w:color w:val="000000"/>
          <w:sz w:val="24"/>
        </w:rPr>
        <w:t>), then the Executive’s benefits under this Agreement shall be either:</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delivered in full,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delivered as to such lesser extent which would result in no portion of such benefits being subject to the Excise Tax, whichever of the foregoing amounts, taking into account the applicable federal, state and local income taxes and the Excise Tax, results in the receipt by the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reduction of cash payments, cancellation of equity awards granted within the 12-month period prior to a “change in control” (as determined under Code Section 280G) that are deemed to have been granted contingent upon the change in control (as determined under Code Section 280G), cancellation of accelerated vesting of equity awards, reduction of employee benefits.</w:t>
      </w:r>
    </w:p>
    <w:p>
      <w:pPr>
        <w:pStyle w:val="TextBody"/>
        <w:bidi w:val="0"/>
        <w:spacing w:before="240" w:after="283"/>
        <w:jc w:val="both"/>
        <w:rPr>
          <w:rFonts w:ascii="Times New Roman" w:hAnsi="Times New Roman"/>
          <w:sz w:val="20"/>
        </w:rPr>
      </w:pPr>
      <w:r>
        <w:rPr>
          <w:rFonts w:ascii="Times New Roman" w:hAnsi="Times New Roman"/>
          <w:color w:val="000000"/>
          <w:sz w:val="24"/>
        </w:rPr>
        <w:t>Unless the Company and the Executive otherwise agree in writing, any determination required under this Section shall be made in writing by the Company’s independent public</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accountants (the “</w:t>
      </w:r>
      <w:r>
        <w:rPr>
          <w:rFonts w:ascii="Times New Roman" w:hAnsi="Times New Roman"/>
          <w:color w:val="000000"/>
          <w:sz w:val="24"/>
          <w:u w:val="single"/>
        </w:rPr>
        <w:t>Accountants</w:t>
      </w:r>
      <w:r>
        <w:rPr>
          <w:rFonts w:ascii="Times New Roman" w:hAnsi="Times New Roman"/>
          <w:color w:val="000000"/>
          <w:sz w:val="20"/>
        </w:rPr>
        <w:t>”</w:t>
      </w:r>
      <w:r>
        <w:rPr>
          <w:rFonts w:ascii="Times New Roman" w:hAnsi="Times New Roman"/>
          <w:color w:val="000000"/>
          <w:sz w:val="24"/>
        </w:rPr>
        <w:t>), whose determination shall be conclusive and binding upon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 280G and 4999 of the Code. The Company and the Executive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40"/>
        <w:jc w:val="both"/>
        <w:rPr/>
      </w:pPr>
      <w:r>
        <w:rPr>
          <w:rFonts w:ascii="Times New Roman" w:hAnsi="Times New Roman"/>
          <w:color w:val="000000"/>
          <w:sz w:val="24"/>
          <w:u w:val="single"/>
        </w:rPr>
        <w:t>Section 409A</w:t>
      </w:r>
      <w:r>
        <w:rPr>
          <w:rFonts w:ascii="Times New Roman" w:hAnsi="Times New Roman"/>
          <w:color w:val="000000"/>
          <w:sz w:val="24"/>
        </w:rPr>
        <w:t>. It is intended that this Agreement comply with or be exempt from Section 409A of the Code and the Treasury Regulations and IRS guidance thereunder (collectively referred to as “</w:t>
      </w:r>
      <w:r>
        <w:rPr>
          <w:rFonts w:ascii="Times New Roman" w:hAnsi="Times New Roman"/>
          <w:color w:val="000000"/>
          <w:sz w:val="24"/>
          <w:u w:val="single"/>
        </w:rPr>
        <w:t>Section 409A</w:t>
      </w:r>
      <w:r>
        <w:rPr>
          <w:color w:val="000000"/>
        </w:rPr>
        <w:t>”</w:t>
      </w:r>
      <w:r>
        <w:rPr>
          <w:rFonts w:ascii="Times New Roman" w:hAnsi="Times New Roman"/>
          <w:color w:val="000000"/>
          <w:sz w:val="24"/>
        </w:rPr>
        <w:t>). Notwithstanding anything to the contrary in this Agreement, this Agreement shall, to the maximum extent possible, be administered, interpreted, and construed in a manner consistent with Section 409A. If and to the extent required to comply with Section 409A, no payment or benefit required to be paid under this Agreement on account of termination of the Executive’s employment shall be made unless and until the Executive has a “separation from service” within the meaning of Section 409A. If any provision of this Agreement provides for payment within a time period, the determination of when such payment shall be made within such time period shall be solely in the discretion of the Company; provided, however, that if for the period for providing and not revoking a Release at Section 2.4 below spans two calendar years, no payment shall be made until the second calendar year. In the case of any amounts payable under this Agreement that may be treated as payable in the form of “a series of installment payments,” as defined in Treasury Regulation Section 1.409A-2(b)(2)(iii), the right to receive such payments shall be treated as a right to receive a series of separate payments for purposes of such Treasury Regulation. If the Executive is a “specified employee” as determined pursuant to Section 409A as of the date of termination of employment and if any payment or benefit provided for in this Agreement or otherwise both (x) constitutes a “deferral of compensation” within the meaning of Section 409A and (y) cannot be paid or provided in the manner otherwise provided without subjecting the Executive to additional tax, interest, or penalties under Section 409A, then any such payment or benefit shall be delayed until the earlier of (i) the date which is six (6) months after the Executive’s “separation from service” within the meaning of Section 409A for any reason other than death, or (ii) the date of the Executive’s death. Any payment or benefit otherwise payable or to be provided to the Executive upon or in the six (6) month period following “separation from service” that is not so paid or provided by reason of this Section 2.3 shall be accumulated and paid or provided to the Executive in a single lump sum, as soon as practicable (and in all events within 15 days) after the date that is six (6) months after the Executive’s “separation from service” (or, if earlier, as soon as practicable, and in all events within fifteen (15) days, after the date of the Executive’s death). All subsequent payments or benefits, if any, shall be payable or provided in accordance with the payment schedule applicable to each payment or benefit. It is the intent of this Agreement to comply with the requirements of Section 409A so that none of the severance payments and benefits to be provided hereunder shall be subject to the additional tax imposed under Section 409A, and any ambiguities herein shall be interpreted to so comply. The Company and the Executive agree to work together in good faith to consider amendments to this Agreement and to take such reasonable actions that are necessary, appropriate or desirable to avoid imposition of any additional tax or income recognition prior to actual payment to the Executive under Section 409A.</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left"/>
        <w:rPr/>
      </w:pPr>
      <w:r>
        <w:rPr>
          <w:rFonts w:ascii="Times New Roman" w:hAnsi="Times New Roman"/>
          <w:color w:val="000000"/>
          <w:sz w:val="24"/>
          <w:u w:val="single"/>
        </w:rPr>
        <w:t>Noncompetition Agreement and Release</w:t>
      </w:r>
      <w:r>
        <w:rPr>
          <w:rFonts w:ascii="Times New Roman" w:hAnsi="Times New Roman"/>
          <w:color w:val="000000"/>
          <w:sz w:val="24"/>
        </w:rPr>
        <w:t>. It shall be a condition to the receipt by the Executive of any payment or benefit pursuant to this Agreement that the Executive shall have executed and delivered to the Company a noncompetition agreement (the “</w:t>
      </w:r>
      <w:r>
        <w:rPr>
          <w:rFonts w:ascii="Times New Roman" w:hAnsi="Times New Roman"/>
          <w:color w:val="000000"/>
          <w:sz w:val="24"/>
          <w:u w:val="single"/>
        </w:rPr>
        <w:t>Noncompetition Agreement</w:t>
      </w:r>
      <w:r>
        <w:rPr>
          <w:color w:val="000000"/>
        </w:rPr>
        <w:t>”</w:t>
      </w:r>
      <w:r>
        <w:rPr>
          <w:rFonts w:ascii="Times New Roman" w:hAnsi="Times New Roman"/>
          <w:color w:val="000000"/>
          <w:sz w:val="24"/>
        </w:rPr>
        <w:t xml:space="preserve">) in substantially the form attached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hereto, and a general release (the “</w:t>
      </w:r>
      <w:r>
        <w:rPr>
          <w:rFonts w:ascii="Times New Roman" w:hAnsi="Times New Roman"/>
          <w:color w:val="000000"/>
          <w:sz w:val="24"/>
          <w:u w:val="single"/>
        </w:rPr>
        <w:t>Release</w:t>
      </w:r>
      <w:r>
        <w:rPr>
          <w:color w:val="000000"/>
        </w:rPr>
        <w:t>”</w:t>
      </w:r>
      <w:r>
        <w:rPr>
          <w:rFonts w:ascii="Times New Roman" w:hAnsi="Times New Roman"/>
          <w:color w:val="000000"/>
          <w:sz w:val="24"/>
        </w:rPr>
        <w:t xml:space="preserve">) in substantially the form attached as </w:t>
      </w:r>
      <w:r>
        <w:rPr>
          <w:rFonts w:ascii="Times New Roman" w:hAnsi="Times New Roman"/>
          <w:color w:val="000000"/>
          <w:sz w:val="24"/>
          <w:u w:val="single"/>
        </w:rPr>
        <w:t xml:space="preserve">Exhibit B </w:t>
      </w:r>
      <w:r>
        <w:rPr>
          <w:rFonts w:ascii="Times New Roman" w:hAnsi="Times New Roman"/>
          <w:color w:val="000000"/>
          <w:sz w:val="24"/>
        </w:rPr>
        <w:t xml:space="preserve">hereto. The Executive acknowledges and agrees that the Employee Agreement, except to the extent superseded by the Noncompetition Agreement, is a binding and enforceable obligation of the Executive that inures to the benefit of the Company’s successors and assigns, including any corporation with which or into which the Company may be merged or which may succeed to its assets or business in a Change in Control. The timing of any payment or benefit pursuant to this Agreement shall be governed by the following provisions. The Executive must execute and deliver the Release within 21 days after termination of employment. If the Executive has revocation rights, such rights must be exercised, if at all, not later than seven business days after execution of the Release (the eighth business day following the execution and non-revocation of the Release referred to as the “Release Effective Date”). The Executive shall not receive the Non-CIC Severance Amount, the CIC Severance Amount, the Accelerated Vesting Benefit nor the Continuation Benefits unless and until any revocation period has expired and the Release is effective.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rFonts w:ascii="Times New Roman" w:hAnsi="Times New Roman"/>
          <w:color w:val="000000"/>
          <w:sz w:val="24"/>
          <w:u w:val="single"/>
        </w:rPr>
        <w:t>Notices</w:t>
      </w:r>
      <w:r>
        <w:rPr>
          <w:rFonts w:ascii="Times New Roman" w:hAnsi="Times New Roman"/>
          <w:color w:val="000000"/>
          <w:sz w:val="24"/>
        </w:rPr>
        <w:t>. Any notice or other communication required or permitted hereunder shall be in writing and shall be deemed given when delivered personally (including by overnight courier) or, if sent by regular mail, three days after the date of deposit in the United States mails addressed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the Company, to:</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Organogenesis Holdings Inc.</w:t>
        <w:br/>
        <w:t>85 Dan Road</w:t>
        <w:br/>
        <w:t>Canton, Massachusetts 02021</w:t>
        <w:br/>
        <w:t>Attention: Chair of the Compensation Committee</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if to the Executive, to the address set forth on the signature page hereto;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or to such other address as either party may from time to time provide to the other by notice as provided in this section.</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2.6.</w:t>
      </w:r>
    </w:p>
    <w:p>
      <w:pPr>
        <w:pStyle w:val="TextBody"/>
        <w:bidi w:val="0"/>
        <w:spacing w:before="0" w:after="0"/>
        <w:jc w:val="left"/>
        <w:rPr/>
      </w:pPr>
      <w:r>
        <w:rPr>
          <w:rFonts w:ascii="Times New Roman" w:hAnsi="Times New Roman"/>
          <w:color w:val="000000"/>
          <w:sz w:val="24"/>
          <w:u w:val="single"/>
        </w:rPr>
        <w:t>Entire Agreement</w:t>
      </w:r>
      <w:r>
        <w:rPr>
          <w:rFonts w:ascii="Times New Roman" w:hAnsi="Times New Roman"/>
          <w:color w:val="000000"/>
          <w:sz w:val="24"/>
        </w:rPr>
        <w:t>. This Agreement and the other agreements between the Executive and the Company referred to in this Agreement constitute the entire agreement and understanding between the Company and the Executive regarding the subject matter hereof, and supersede all prior negotiations, agreements, arrangements, and understandings, both written or oral, between the Company and the Executive with respect to the subject matter of this Agreement. Without limiting the generality of the foregoing, this Agreement supersedes and replaces the CIC Agreement and the severance terms of the Amended and Restated Key Employee Agreement dated February 1, 2007, as amended, by and between Organogenesis Inc. and the Executive.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left"/>
        <w:rPr/>
      </w:pPr>
      <w:r>
        <w:rPr>
          <w:rFonts w:ascii="Times New Roman" w:hAnsi="Times New Roman"/>
          <w:color w:val="000000"/>
          <w:sz w:val="24"/>
          <w:u w:val="single"/>
        </w:rPr>
        <w:t>Waiver or Amendment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waiver by either party of a breach or violation of any term or provision of this Agreement by the other party shall not operate or be construed as a waiver of any subsequent breach or violation of any provision of this Agreement or of any other right or remedy.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provision in this Agreement may be amended unless such amendment is set forth in a writing that specifically refers to this Agreement and is signed by the Executive and the Company.</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2.8.</w:t>
      </w:r>
    </w:p>
    <w:p>
      <w:pPr>
        <w:pStyle w:val="TextBody"/>
        <w:bidi w:val="0"/>
        <w:spacing w:before="240" w:after="240"/>
        <w:jc w:val="left"/>
        <w:rPr/>
      </w:pPr>
      <w:r>
        <w:rPr>
          <w:rFonts w:ascii="Times New Roman" w:hAnsi="Times New Roman"/>
          <w:color w:val="000000"/>
          <w:sz w:val="24"/>
          <w:u w:val="single"/>
        </w:rPr>
        <w:t>Governing Law</w:t>
      </w:r>
      <w:r>
        <w:rPr>
          <w:rFonts w:ascii="Times New Roman" w:hAnsi="Times New Roman"/>
          <w:color w:val="000000"/>
          <w:sz w:val="24"/>
        </w:rPr>
        <w:t>. This Agreement shall be governed by and construed in accordance with the laws of The Commonwealth of Massachusetts without regard to its conflict of laws rules.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2.9.</w:t>
      </w:r>
    </w:p>
    <w:p>
      <w:pPr>
        <w:pStyle w:val="TextBody"/>
        <w:bidi w:val="0"/>
        <w:spacing w:before="0" w:after="0"/>
        <w:jc w:val="left"/>
        <w:rPr/>
      </w:pPr>
      <w:r>
        <w:rPr>
          <w:rFonts w:ascii="Times New Roman" w:hAnsi="Times New Roman"/>
          <w:color w:val="000000"/>
          <w:sz w:val="24"/>
          <w:u w:val="single"/>
        </w:rPr>
        <w:t>Successors; Assignment</w:t>
      </w:r>
      <w:r>
        <w:rPr>
          <w:rFonts w:ascii="Times New Roman" w:hAnsi="Times New Roman"/>
          <w:color w:val="000000"/>
          <w:sz w:val="24"/>
        </w:rPr>
        <w:t>. The Company shall require any successor via a Change in Control (whether direct or indirect, by purchase, merger, consolidation or otherwise) to assume expressly and agree to perform this Agreement in the same manner and to the same extent that the Company would be required to perform it if no such succession had taken place. This Agreement shall inure to the benefit of, and shall be binding upon, each of the Company and the Executive and their respective heirs, personal representatives, legal representatives, successors and assigns.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2.10.</w:t>
      </w:r>
    </w:p>
    <w:p>
      <w:pPr>
        <w:pStyle w:val="TextBody"/>
        <w:bidi w:val="0"/>
        <w:spacing w:before="0" w:after="0"/>
        <w:jc w:val="left"/>
        <w:rPr/>
      </w:pPr>
      <w:r>
        <w:rPr>
          <w:rFonts w:ascii="Times New Roman" w:hAnsi="Times New Roman"/>
          <w:color w:val="000000"/>
          <w:sz w:val="24"/>
          <w:u w:val="single"/>
        </w:rPr>
        <w:t>Severability</w:t>
      </w:r>
      <w:r>
        <w:rPr>
          <w:rFonts w:ascii="Times New Roman" w:hAnsi="Times New Roman"/>
          <w:color w:val="000000"/>
          <w:sz w:val="24"/>
        </w:rPr>
        <w:t>. The invalidity of any one or more of the words, phrases, sentences, clauses or sections contained in this Agreement shall not affect the enforceability of the remaining portions of this Agreement or any part hereof. If any part of this Agreement shall be declared invalid by a court of competent jurisdiction, this Agreement shall be construed as if such invalid part had not been inserted.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left"/>
        <w:rPr/>
      </w:pPr>
      <w:r>
        <w:rPr>
          <w:rFonts w:ascii="Times New Roman" w:hAnsi="Times New Roman"/>
          <w:color w:val="000000"/>
          <w:sz w:val="24"/>
          <w:u w:val="single"/>
        </w:rPr>
        <w:t>Section Headings</w:t>
      </w:r>
      <w:r>
        <w:rPr>
          <w:rFonts w:ascii="Times New Roman" w:hAnsi="Times New Roman"/>
          <w:color w:val="000000"/>
          <w:sz w:val="24"/>
        </w:rPr>
        <w:t>. The section and subsection headings contained in this Agreement are for reference purposes only and shall not affect any way the meaning, construction or interpretation of any or all of the provisions of 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and by the separate parties hereto in separate counterparts, each of which shall be deemed to constitute an original and all of which shall be deemed to be one and the same instrument.</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2.13.</w:t>
      </w:r>
    </w:p>
    <w:p>
      <w:pPr>
        <w:pStyle w:val="TextBody"/>
        <w:bidi w:val="0"/>
        <w:spacing w:before="240" w:after="240"/>
        <w:jc w:val="left"/>
        <w:rPr/>
      </w:pPr>
      <w:r>
        <w:rPr>
          <w:rFonts w:ascii="Times New Roman" w:hAnsi="Times New Roman"/>
          <w:color w:val="000000"/>
          <w:sz w:val="24"/>
          <w:u w:val="single"/>
        </w:rPr>
        <w:t>Authority to Execute</w:t>
      </w:r>
      <w:r>
        <w:rPr>
          <w:rFonts w:ascii="Times New Roman" w:hAnsi="Times New Roman"/>
          <w:color w:val="000000"/>
          <w:sz w:val="24"/>
        </w:rPr>
        <w:t>. The undersigned representative of the Company represents and warrants that he has full power and authority to enter into this Agreement on behalf of the Company, and that the execution, delivery and performance of this Agreement have been authorized by the Board. Upon the Executive's acceptance of this Agreement by signing and returning it to the Company, this Agreement will become binding upon the Executive and the Company.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480"/>
        <w:jc w:val="left"/>
        <w:rPr>
          <w:rFonts w:ascii="Times New Roman" w:hAnsi="Times New Roman"/>
          <w:color w:val="000000"/>
          <w:sz w:val="24"/>
        </w:rPr>
      </w:pPr>
      <w:r>
        <w:rPr>
          <w:rFonts w:ascii="Times New Roman" w:hAnsi="Times New Roman"/>
          <w:color w:val="000000"/>
          <w:sz w:val="24"/>
        </w:rPr>
        <w:t>IN WITNESS WHEREOF, the parties have executed this Agreement as of the day and year first written above.</w:t>
      </w:r>
    </w:p>
    <w:tbl>
      <w:tblPr>
        <w:tblW w:w="7474" w:type="dxa"/>
        <w:jc w:val="left"/>
        <w:tblInd w:w="0" w:type="dxa"/>
        <w:tblLayout w:type="fixed"/>
        <w:tblCellMar>
          <w:top w:w="28" w:type="dxa"/>
          <w:left w:w="28" w:type="dxa"/>
          <w:bottom w:w="28" w:type="dxa"/>
          <w:right w:w="28" w:type="dxa"/>
        </w:tblCellMar>
      </w:tblPr>
      <w:tblGrid>
        <w:gridCol w:w="3139"/>
        <w:gridCol w:w="146"/>
        <w:gridCol w:w="4189"/>
      </w:tblGrid>
      <w:tr>
        <w:trPr/>
        <w:tc>
          <w:tcPr>
            <w:tcW w:w="3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9" w:type="dxa"/>
            <w:tcBorders/>
            <w:vAlign w:val="center"/>
          </w:tcPr>
          <w:p>
            <w:pPr>
              <w:pStyle w:val="TableContents"/>
              <w:bidi w:val="0"/>
              <w:spacing w:before="0" w:after="283"/>
              <w:jc w:val="left"/>
              <w:rPr>
                <w:sz w:val="4"/>
                <w:szCs w:val="4"/>
              </w:rPr>
            </w:pPr>
            <w:r>
              <w:rPr>
                <w:sz w:val="4"/>
                <w:szCs w:val="4"/>
              </w:rPr>
            </w:r>
          </w:p>
        </w:tc>
      </w:tr>
      <w:tr>
        <w:trPr/>
        <w:tc>
          <w:tcPr>
            <w:tcW w:w="3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bookmarkStart w:id="24" w:name="docxgobackhere"/>
            <w:bookmarkEnd w:id="24"/>
            <w:r>
              <w:rPr>
                <w:rFonts w:ascii="Times New Roman" w:hAnsi="Times New Roman"/>
                <w:color w:val="000000"/>
                <w:sz w:val="24"/>
              </w:rPr>
              <w:t>EXECUTIVE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9"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ORGANOGENESIS HOLDINGS INC.</w:t>
            </w:r>
          </w:p>
        </w:tc>
      </w:tr>
      <w:tr>
        <w:trPr/>
        <w:tc>
          <w:tcPr>
            <w:tcW w:w="3139" w:type="dxa"/>
            <w:tcBorders/>
            <w:tcMar>
              <w:top w:w="0" w:type="dxa"/>
              <w:left w:w="0" w:type="dxa"/>
              <w:bottom w:w="0" w:type="dxa"/>
              <w:right w:w="0" w:type="dxa"/>
            </w:tcMar>
            <w:vAlign w:val="center"/>
          </w:tcPr>
          <w:p>
            <w:pPr>
              <w:pStyle w:val="TableContents"/>
              <w:bidi w:val="0"/>
              <w:ind w:left="0" w:right="0" w:firstLine="108"/>
              <w:jc w:val="left"/>
              <w:rPr/>
            </w:pPr>
            <w:r>
              <w:rPr/>
              <w:t> </w:t>
            </w:r>
          </w:p>
          <w:p>
            <w:pPr>
              <w:pStyle w:val="TableContents"/>
              <w:bidi w:val="0"/>
              <w:ind w:left="0" w:right="0" w:firstLine="108"/>
              <w:jc w:val="left"/>
              <w:rPr>
                <w:rFonts w:ascii="Times New Roman" w:hAnsi="Times New Roman"/>
                <w:sz w:val="24"/>
              </w:rPr>
            </w:pPr>
            <w:r>
              <w:rPr>
                <w:rFonts w:ascii="Times New Roman" w:hAnsi="Times New Roman"/>
                <w:color w:val="000000"/>
                <w:sz w:val="24"/>
                <w:u w:val="single"/>
              </w:rPr>
              <w:t>/s/ Gary S. Gillheeney, Sr.</w:t>
            </w:r>
            <w:r>
              <w:rPr>
                <w:rFonts w:ascii="Times New Roman" w:hAnsi="Times New Roman"/>
                <w:color w:val="000000"/>
                <w:sz w:val="24"/>
              </w:rPr>
              <w:t xml:space="preserve"> </w:t>
            </w:r>
          </w:p>
          <w:p>
            <w:pPr>
              <w:pStyle w:val="TableContents"/>
              <w:bidi w:val="0"/>
              <w:ind w:left="0" w:right="0" w:firstLine="108"/>
              <w:jc w:val="left"/>
              <w:rPr>
                <w:rFonts w:ascii="Times New Roman" w:hAnsi="Times New Roman"/>
                <w:color w:val="000000"/>
                <w:sz w:val="24"/>
              </w:rPr>
            </w:pPr>
            <w:r>
              <w:rPr>
                <w:rFonts w:ascii="Times New Roman" w:hAnsi="Times New Roman"/>
                <w:color w:val="000000"/>
                <w:sz w:val="24"/>
              </w:rPr>
              <w:t>Name: Gary S. Gillheeney, Sr.</w:t>
            </w:r>
          </w:p>
          <w:p>
            <w:pPr>
              <w:pStyle w:val="TableContents"/>
              <w:bidi w:val="0"/>
              <w:ind w:left="0" w:right="0" w:firstLine="108"/>
              <w:jc w:val="left"/>
              <w:rPr>
                <w:rFonts w:ascii="Times New Roman" w:hAnsi="Times New Roman"/>
                <w:color w:val="000000"/>
                <w:sz w:val="24"/>
              </w:rPr>
            </w:pPr>
            <w:r>
              <w:rPr>
                <w:rFonts w:ascii="Times New Roman" w:hAnsi="Times New Roman"/>
                <w:color w:val="000000"/>
                <w:sz w:val="24"/>
              </w:rPr>
              <w:t>Address:</w:t>
            </w:r>
          </w:p>
          <w:p>
            <w:pPr>
              <w:pStyle w:val="TableContents"/>
              <w:bidi w:val="0"/>
              <w:spacing w:before="0" w:after="283"/>
              <w:ind w:left="0" w:right="0" w:firstLine="108"/>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9"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Lori Freedman</w:t>
            </w:r>
            <w:r>
              <w:rPr>
                <w:rFonts w:ascii="Times New Roman" w:hAnsi="Times New Roman"/>
                <w:color w:val="000000"/>
                <w:sz w:val="24"/>
              </w:rPr>
              <w:t xml:space="preserve"> </w:t>
            </w:r>
          </w:p>
          <w:p>
            <w:pPr>
              <w:pStyle w:val="TableContents"/>
              <w:bidi w:val="0"/>
              <w:jc w:val="left"/>
              <w:rPr>
                <w:rFonts w:ascii="Times New Roman" w:hAnsi="Times New Roman"/>
                <w:color w:val="000000"/>
                <w:sz w:val="24"/>
              </w:rPr>
            </w:pPr>
            <w:r>
              <w:rPr>
                <w:rFonts w:ascii="Times New Roman" w:hAnsi="Times New Roman"/>
                <w:color w:val="000000"/>
                <w:sz w:val="24"/>
              </w:rPr>
              <w:t>Lori Freedman</w:t>
            </w:r>
          </w:p>
          <w:p>
            <w:pPr>
              <w:pStyle w:val="TableContents"/>
              <w:bidi w:val="0"/>
              <w:spacing w:before="0" w:after="283"/>
              <w:ind w:left="0" w:right="0" w:firstLine="108"/>
              <w:jc w:val="left"/>
              <w:rPr/>
            </w:pPr>
            <w:r>
              <w:rPr/>
              <w:t> </w:t>
            </w:r>
          </w:p>
        </w:tc>
      </w:tr>
      <w:tr>
        <w:trPr/>
        <w:tc>
          <w:tcPr>
            <w:tcW w:w="313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ORGANOGENESIS INC.</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Lori Freedman</w:t>
            </w:r>
            <w:r>
              <w:rPr>
                <w:rFonts w:ascii="Times New Roman" w:hAnsi="Times New Roman"/>
                <w:color w:val="000000"/>
                <w:sz w:val="24"/>
              </w:rPr>
              <w:t xml:space="preserve"> </w:t>
            </w:r>
          </w:p>
          <w:p>
            <w:pPr>
              <w:pStyle w:val="TableContents"/>
              <w:bidi w:val="0"/>
              <w:jc w:val="left"/>
              <w:rPr>
                <w:rFonts w:ascii="Times New Roman" w:hAnsi="Times New Roman"/>
                <w:color w:val="000000"/>
                <w:sz w:val="24"/>
              </w:rPr>
            </w:pPr>
            <w:r>
              <w:rPr>
                <w:rFonts w:ascii="Times New Roman" w:hAnsi="Times New Roman"/>
                <w:color w:val="000000"/>
                <w:sz w:val="24"/>
              </w:rPr>
              <w:t>Lori Freedman</w:t>
            </w:r>
          </w:p>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rFonts w:ascii="Times New Roman" w:hAnsi="Times New Roman"/>
          <w:color w:val="000000"/>
          <w:sz w:val="24"/>
        </w:rPr>
      </w:pPr>
      <w:r>
        <w:rPr>
          <w:rFonts w:ascii="Times New Roman" w:hAnsi="Times New Roman"/>
          <w:color w:val="000000"/>
          <w:sz w:val="24"/>
        </w:rPr>
        <w:t>NONCOMPETE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NONCOMPETE AGREEMENT (the "</w:t>
      </w:r>
      <w:r>
        <w:rPr>
          <w:rFonts w:ascii="Times New Roman" w:hAnsi="Times New Roman"/>
          <w:color w:val="000000"/>
          <w:sz w:val="24"/>
          <w:u w:val="single"/>
        </w:rPr>
        <w:t>AGREEMENT</w:t>
      </w:r>
      <w:r>
        <w:rPr>
          <w:rFonts w:ascii="Times New Roman" w:hAnsi="Times New Roman"/>
          <w:color w:val="000000"/>
          <w:sz w:val="24"/>
        </w:rPr>
        <w:t>"), made as of the [ ] day of [ ], is entered into between Organogenesis Holdings Inc., a Delaware corporation with offices at 85 Dan Road, Canton, Massachusetts 02021 (the "</w:t>
      </w:r>
      <w:r>
        <w:rPr>
          <w:rFonts w:ascii="Times New Roman" w:hAnsi="Times New Roman"/>
          <w:color w:val="000000"/>
          <w:sz w:val="24"/>
          <w:u w:val="single"/>
        </w:rPr>
        <w:t>Company</w:t>
      </w:r>
      <w:r>
        <w:rPr>
          <w:rFonts w:ascii="Times New Roman" w:hAnsi="Times New Roman"/>
          <w:color w:val="000000"/>
          <w:sz w:val="24"/>
        </w:rPr>
        <w:t>") and [ ] (the "</w:t>
      </w:r>
      <w:r>
        <w:rPr>
          <w:rFonts w:ascii="Times New Roman" w:hAnsi="Times New Roman"/>
          <w:color w:val="000000"/>
          <w:sz w:val="24"/>
          <w:u w:val="single"/>
        </w:rPr>
        <w:t>Employee</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RECITALS: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The Company is willing to grant certain severance and other benefits to the Employee, under the circumstances specified in that certain Key Employee Retention Agreement dated [ ], 2026 between the Company and the Employee (the “</w:t>
      </w:r>
      <w:r>
        <w:rPr>
          <w:rFonts w:ascii="Times New Roman" w:hAnsi="Times New Roman"/>
          <w:color w:val="000000"/>
          <w:sz w:val="24"/>
          <w:u w:val="single"/>
        </w:rPr>
        <w:t>Retention Agreement</w:t>
      </w:r>
      <w:r>
        <w:rPr>
          <w:rFonts w:ascii="Times New Roman" w:hAnsi="Times New Roman"/>
          <w:color w:val="000000"/>
          <w:sz w:val="20"/>
        </w:rPr>
        <w:t>”</w:t>
      </w:r>
      <w:r>
        <w:rPr>
          <w:rFonts w:ascii="Times New Roman" w:hAnsi="Times New Roman"/>
          <w:color w:val="000000"/>
          <w:sz w:val="24"/>
        </w:rPr>
        <w:t>);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As set forth in the Retention Agreement, the Employee's execution of this Agreement is a condition to the Employee’s receipt of such benefits;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NOW, THEREFORE, in consideration of the mutual covenants and promises contained herein, and other good and valuable consideration, the receipt and sufficiency of which are hereby acknowledged, the parties hereto agree as follows:</w:t>
      </w:r>
    </w:p>
    <w:p>
      <w:pPr>
        <w:pStyle w:val="TextBody"/>
        <w:bidi w:val="0"/>
        <w:jc w:val="left"/>
        <w:rPr/>
      </w:pPr>
      <w:r>
        <w:rPr/>
        <w:t> </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1.</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NON-COMPETITION COVENANTS.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NON-COMPETITION COVENANTS. The Employee agrees that the Employee will not, during the Non-Competition Period (as hereinafter defined), directly or indirectly: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owner, employee, officer, director, partner, sales representative, agent, stockholder, capital investor, lessor, consultant or advisor, either alone or in association with others (other than as a holder of not more than one percent of the outstanding shares of any series or class of securities of a company, which securities of such class or series are publicly traded in the securities markets), develop, design, produce, market, sell or render (or assist any other person or entity in developing, designing, producing, marketing, selling or rendering), products or services which are competitive with the Business of the Company (as hereinafter defined) anywhere in the world;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solicit, divert or take away, or attempt to solicit, divert or take away, the business or patronage of any of the customers, prospective customers or referral sources of the Company with whom the Company has had a relationship during the period of the Employee's employment by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recruit, solicit or hire any employee of the Company, or induce or attempt to induce any employee of the Company to terminate his or her employment with, or otherwise cease his or her relationship with, the Company.</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DEFINITIONS. For the purposes of this Section 1, the following terms shall have the respective meanings indicated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"NON-COMPETITION PERIOD" shall mean the [18-month period (if being paid the Non-CIC Severance Amount)][24-month period (if being paid the CIC Severance Amount)] commencing on the last day of the Employee's employment by the Company.</w:t>
      </w:r>
    </w:p>
    <w:p>
      <w:pPr>
        <w:pStyle w:val="TextBody"/>
        <w:bidi w:val="0"/>
        <w:jc w:val="both"/>
        <w:rPr>
          <w:rFonts w:ascii="Times New Roman" w:hAnsi="Times New Roman"/>
          <w:color w:val="000000"/>
          <w:sz w:val="24"/>
        </w:rPr>
      </w:pPr>
      <w:r>
        <w:rPr>
          <w:rFonts w:ascii="Times New Roman" w:hAnsi="Times New Roman"/>
          <w:color w:val="000000"/>
          <w:sz w:val="24"/>
        </w:rPr>
        <w:t>(ii) "BUSINESS OF THE COMPANY" shall mean all activities of the Company, including, without limitation, research, development, sales, engineering, financial and accounting work, IT maintenance and development, technical and clinical feasibility investigations (conducted or contemplated), governmental approvals (obtained or applied for) and the manufacturing, fabrication, packaging, sale, distribution, or licensing of any products or services offered or contemplated to be offered by the Company in the fields of i) advanced wound care for the treatment of chronic and acute wounds, tissue regeneration, skin substitutes, and/or the healing of musculoskeletal injuries, and ii) surgical and sports medicine. For the avoidance of doubt and without limitation, such fields shall include living and non-living tissue and organ replacement and repair constructs, related to the sub-fields of wound repair, bio-surgery, and bio-aesthetics, including, but not limited to: (a) living dermal equivalents, living epidermal equivalents, living skin equivalents, wound coverings and wound management products; (b) living connective tissue constructs and biomaterial constructs for the repair and/or replacement tendon, ligament, body-wall, cardiac tissue, vasculature, bone, cartilage, neural tissue; (c) injectable matrix compositions, injectable cell compositions, topical compositions containing cytokines, growth factors, and other cell-communication compounds; (d) natural and synthesized collagen compositions, and natural and synthesized extracellular matrix compositions; (e) cell culture media for culturing cells and living constructs; (f) stem cells; and (g) cell- delivery constructs.</w:t>
      </w:r>
    </w:p>
    <w:p>
      <w:pPr>
        <w:pStyle w:val="TextBody"/>
        <w:bidi w:val="0"/>
        <w:jc w:val="left"/>
        <w:rPr/>
      </w:pPr>
      <w:r>
        <w:rPr/>
        <w:t> </w:t>
      </w:r>
    </w:p>
    <w:p>
      <w:pPr>
        <w:pStyle w:val="TextBody"/>
        <w:bidi w:val="0"/>
        <w:spacing w:before="7" w:after="283"/>
        <w:jc w:val="left"/>
        <w:rPr/>
      </w:pPr>
      <w:r>
        <w:rPr/>
        <w:t> </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2.</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INJUNCTIVE AND OTHER EQUITABLE RELIEF.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Employee consents and agrees that if the Employee violates any of the provisions of Section 1 hereof, the Company shall be entitled, in addition to any other remedies it may have at law, to the remedies of injunction, specific performance and other equitable relief for a breach by the Employee of Section 1 of this Agreement. This Section 2(a) shall not, however, be construed as a waiver of any of the rights which the Company may have for damages or otherwise.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waiver by the Company of a breach of any provision of Section 1 hereof shall not operate or be construed as a waiver of any subsequent breach of such provision or any other provision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Employee agrees that each provision of Section 1 shall be treated as a separate and independent clause, and the unenforceability of any one clause shall in no way impair the enforceability of the other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clauses herein. Moreover, if one or more of the provisions contained in Section 1 shall for any reason be held to be excessively broad as to scope, activity or subject so as to be unenforceable at law, such provision or provisions shall be construed by the appropriate judicial body by limiting and reducing it or them so as to be enforceable to the maximum extent compatible with the applicable law as it shall then appear.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If the Company shall prevail in any action, suit or other proceeding (whether at law, in equity or otherwise) instituted concerning or arising out of this Agreement, it shall recover, in addition to any other remedy granted to it therein, all its costs and reasonable attorneys’ fees incurred in connection with the prosecution or defense of such action, suit or other proceeding.</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3.</w:t>
      </w:r>
    </w:p>
    <w:p>
      <w:pPr>
        <w:pStyle w:val="TextBody"/>
        <w:bidi w:val="0"/>
        <w:spacing w:before="0" w:after="240"/>
        <w:jc w:val="left"/>
        <w:rPr/>
      </w:pPr>
      <w:r>
        <w:rPr>
          <w:rFonts w:ascii="Times New Roman" w:hAnsi="Times New Roman"/>
          <w:caps/>
          <w:color w:val="000000"/>
          <w:sz w:val="24"/>
        </w:rPr>
        <w:t xml:space="preserve">OTHER AGREEMENTS. </w:t>
      </w:r>
      <w:r>
        <w:rPr>
          <w:rFonts w:ascii="Times New Roman" w:hAnsi="Times New Roman"/>
          <w:caps/>
          <w:color w:val="FF0000"/>
          <w:sz w:val="32"/>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Employee represents and warrants that the Employee’s performance of all the terms of this Agreement does not and will not breach any other agreement by which he is bound.</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4.</w:t>
      </w:r>
    </w:p>
    <w:p>
      <w:pPr>
        <w:pStyle w:val="TextBody"/>
        <w:bidi w:val="0"/>
        <w:spacing w:before="0" w:after="240"/>
        <w:jc w:val="left"/>
        <w:rPr/>
      </w:pPr>
      <w:r>
        <w:rPr>
          <w:rFonts w:ascii="Times New Roman" w:hAnsi="Times New Roman"/>
          <w:caps/>
          <w:color w:val="000000"/>
          <w:sz w:val="24"/>
        </w:rPr>
        <w:t>ENTIRE AGREEMENT.</w:t>
      </w:r>
      <w:r>
        <w:rPr>
          <w:rFonts w:ascii="Times New Roman" w:hAnsi="Times New Roman"/>
          <w:caps/>
          <w:color w:val="FF0000"/>
          <w:sz w:val="32"/>
        </w:rPr>
        <w:t>»</w:t>
      </w:r>
    </w:p>
    <w:p>
      <w:pPr>
        <w:pStyle w:val="TextBody"/>
        <w:bidi w:val="0"/>
        <w:spacing w:before="0" w:after="240"/>
        <w:jc w:val="left"/>
        <w:rPr>
          <w:rFonts w:ascii="Times New Roman" w:hAnsi="Times New Roman"/>
          <w:sz w:val="20"/>
        </w:rPr>
      </w:pPr>
      <w:r>
        <w:rPr>
          <w:rFonts w:ascii="Times New Roman" w:hAnsi="Times New Roman"/>
          <w:color w:val="000000"/>
          <w:sz w:val="24"/>
        </w:rPr>
        <w:t>This Agreement constitutes the entire agreement between the parties and supersedes all prior agreements and understandings, whether written or oral, relating to the subject matter of this Agreement. In particular, this Agreement supersedes Section [2.2] of the Employee Agreement, but the rest of the Employee Agreement remains in full force and effect.</w:t>
      </w:r>
      <w:r>
        <w:rPr>
          <w:rFonts w:ascii="Times New Roman" w:hAnsi="Times New Roman"/>
          <w:color w:val="000000"/>
          <w:sz w:val="20"/>
        </w:rPr>
        <w:t xml:space="preserve"> </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5.</w:t>
      </w:r>
    </w:p>
    <w:p>
      <w:pPr>
        <w:pStyle w:val="TextBody"/>
        <w:bidi w:val="0"/>
        <w:spacing w:before="0" w:after="240"/>
        <w:jc w:val="left"/>
        <w:rPr/>
      </w:pPr>
      <w:r>
        <w:rPr>
          <w:rFonts w:ascii="Times New Roman" w:hAnsi="Times New Roman"/>
          <w:caps/>
          <w:color w:val="000000"/>
          <w:sz w:val="24"/>
        </w:rPr>
        <w:t>AMENDMENT.</w:t>
      </w:r>
      <w:r>
        <w:rPr>
          <w:rFonts w:ascii="Times New Roman" w:hAnsi="Times New Roman"/>
          <w:caps/>
          <w:color w:val="FF0000"/>
          <w:sz w:val="32"/>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may be amended or modified only by a written instrument executed by both the Company and the Employee.</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6.</w:t>
      </w:r>
    </w:p>
    <w:p>
      <w:pPr>
        <w:pStyle w:val="TextBody"/>
        <w:bidi w:val="0"/>
        <w:spacing w:before="0" w:after="240"/>
        <w:jc w:val="left"/>
        <w:rPr/>
      </w:pPr>
      <w:r>
        <w:rPr>
          <w:rFonts w:ascii="Times New Roman" w:hAnsi="Times New Roman"/>
          <w:caps/>
          <w:color w:val="000000"/>
          <w:sz w:val="24"/>
        </w:rPr>
        <w:t>GOVERNING LAW.</w:t>
      </w:r>
      <w:r>
        <w:rPr>
          <w:rFonts w:ascii="Times New Roman" w:hAnsi="Times New Roman"/>
          <w:caps/>
          <w:color w:val="FF0000"/>
          <w:sz w:val="32"/>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shall be construed, interpreted and enforced in accordance with the laws of The Commonwealth of Massachusetts, without regard to its choice of law principles. The Employee hereby consents to (a) service of process, and to be sued, in The Commonwealth of Massachusetts and (b) to the jurisdiction of the courts of The Commonwealth of Massachusetts and the United States District Court for the District of Massachusetts, as well as to the jurisdiction of all courts to which an appeal may be taken from such courts, for the purpose of any suit, action or other proceeding arising out of any of Employee's obligations hereunder, and Employee expressly waives any and all objections he or she may have as to venue in any such courts.</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7.</w:t>
      </w:r>
    </w:p>
    <w:p>
      <w:pPr>
        <w:pStyle w:val="TextBody"/>
        <w:bidi w:val="0"/>
        <w:spacing w:before="0" w:after="240"/>
        <w:jc w:val="left"/>
        <w:rPr/>
      </w:pPr>
      <w:r>
        <w:rPr>
          <w:rFonts w:ascii="Times New Roman" w:hAnsi="Times New Roman"/>
          <w:caps/>
          <w:color w:val="000000"/>
          <w:sz w:val="24"/>
        </w:rPr>
        <w:t>SUCCESSORS AND ASSIGNS.</w:t>
      </w:r>
      <w:r>
        <w:rPr>
          <w:rFonts w:ascii="Times New Roman" w:hAnsi="Times New Roman"/>
          <w:caps/>
          <w:color w:val="FF0000"/>
          <w:sz w:val="32"/>
        </w:rPr>
        <w:t>»</w:t>
      </w:r>
    </w:p>
    <w:p>
      <w:pPr>
        <w:pStyle w:val="TextBody"/>
        <w:bidi w:val="0"/>
        <w:spacing w:before="0" w:after="240"/>
        <w:jc w:val="left"/>
        <w:rPr>
          <w:rFonts w:ascii="Times New Roman" w:hAnsi="Times New Roman"/>
          <w:sz w:val="20"/>
        </w:rPr>
      </w:pPr>
      <w:r>
        <w:rPr>
          <w:rFonts w:ascii="Times New Roman" w:hAnsi="Times New Roman"/>
          <w:color w:val="000000"/>
          <w:sz w:val="24"/>
        </w:rPr>
        <w:t>This Agreement shall be binding upon and inure to the benefit of both parties and their respective successors and assigns, including any corporation with which or into which the Company may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merged or which may succeed to its assets or business, provided, however, that the obligations of the Employee are personal and shall not be assigned by him.</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8.</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MISCELLANEOUS.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captions of the sections of this Agreement are for convenience of reference only and in no way define, limit or affect the scope or substance of any section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shall be interpreted in such a manner as to be effective and valid under applicable law, but if any 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pStyle w:val="TextBody"/>
        <w:bidi w:val="0"/>
        <w:jc w:val="left"/>
        <w:rPr>
          <w:rFonts w:ascii="Times New Roman" w:hAnsi="Times New Roman"/>
          <w:color w:val="000000"/>
          <w:sz w:val="24"/>
        </w:rPr>
      </w:pPr>
      <w:r>
        <w:rPr>
          <w:rFonts w:ascii="Times New Roman" w:hAnsi="Times New Roman"/>
          <w:color w:val="000000"/>
          <w:sz w:val="24"/>
        </w:rPr>
        <w:t>IN WITNESS WHEREOF, the parties hereto have executed this Agreement as</w:t>
      </w:r>
    </w:p>
    <w:p>
      <w:pPr>
        <w:pStyle w:val="TextBody"/>
        <w:bidi w:val="0"/>
        <w:jc w:val="left"/>
        <w:rPr>
          <w:rFonts w:ascii="Times New Roman" w:hAnsi="Times New Roman"/>
          <w:color w:val="000000"/>
          <w:sz w:val="24"/>
        </w:rPr>
      </w:pPr>
      <w:r>
        <w:rPr>
          <w:rFonts w:ascii="Times New Roman" w:hAnsi="Times New Roman"/>
          <w:color w:val="000000"/>
          <w:sz w:val="24"/>
        </w:rPr>
        <w:t>of the day and year set forth above.</w:t>
      </w:r>
    </w:p>
    <w:p>
      <w:pPr>
        <w:pStyle w:val="TextBody"/>
        <w:bidi w:val="0"/>
        <w:jc w:val="left"/>
        <w:rPr>
          <w:rFonts w:ascii="Times New Roman" w:hAnsi="Times New Roman"/>
          <w:color w:val="000000"/>
          <w:sz w:val="24"/>
        </w:rPr>
      </w:pPr>
      <w:r>
        <w:rPr>
          <w:rFonts w:ascii="Times New Roman" w:hAnsi="Times New Roman"/>
          <w:color w:val="000000"/>
          <w:sz w:val="24"/>
        </w:rPr>
        <w:t>ORGANOGENESIS HOLDINGS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br/>
      </w: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EMPLOYEE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br/>
      </w:r>
      <w:r>
        <w:rPr>
          <w:rFonts w:ascii="Times New Roman" w:hAnsi="Times New Roman"/>
          <w:color w:val="000000"/>
          <w:sz w:val="24"/>
        </w:rPr>
        <w:t>Name:</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right"/>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GENERAL RELEASE AND WAIVER OF ALL CLAIMS</w:t>
        <w:br/>
        <w:t>(INCLUDING OLDER WORKER BENEFITS PROTECTION ACT CLAIMS)</w:t>
      </w:r>
    </w:p>
    <w:p>
      <w:pPr>
        <w:pStyle w:val="TextBody"/>
        <w:bidi w:val="0"/>
        <w:spacing w:before="240" w:after="283"/>
        <w:jc w:val="left"/>
        <w:rPr>
          <w:rFonts w:ascii="Times New Roman" w:hAnsi="Times New Roman"/>
          <w:sz w:val="20"/>
        </w:rPr>
      </w:pPr>
      <w:r>
        <w:rPr>
          <w:rFonts w:ascii="Times New Roman" w:hAnsi="Times New Roman"/>
          <w:color w:val="000000"/>
          <w:sz w:val="24"/>
        </w:rPr>
        <w:t>For good and valuable consideration, including without limitation the compensation and benefits set forth in the Key Employee Retention Agreement dated [ ], 20__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between the undersigned and Organogenesis Holdings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to which this General Release and Waiver of All Claims is attached, the terms of which Agreement shall survive this General Release and Waiver of Claims, the undersigned, on behalf of and for himself or herself and his or her heirs, administrators, executors, representatives, estates, attorneys, insurers, successors and assigns (hereafter referred to separately and collectively as the “</w:t>
      </w:r>
      <w:r>
        <w:rPr>
          <w:rFonts w:ascii="Times New Roman" w:hAnsi="Times New Roman"/>
          <w:color w:val="000000"/>
          <w:sz w:val="24"/>
          <w:u w:val="single"/>
        </w:rPr>
        <w:t>Releasor</w:t>
      </w:r>
      <w:r>
        <w:rPr>
          <w:rFonts w:ascii="Times New Roman" w:hAnsi="Times New Roman"/>
          <w:color w:val="000000"/>
          <w:sz w:val="20"/>
        </w:rPr>
        <w:t>”</w:t>
      </w:r>
      <w:r>
        <w:rPr>
          <w:rFonts w:ascii="Times New Roman" w:hAnsi="Times New Roman"/>
          <w:color w:val="000000"/>
          <w:sz w:val="24"/>
        </w:rPr>
        <w:t>), hereby voluntarily releases and forever discharges the Company, and its subsidiaries (direct and indirect), affiliates, related companies, divisions, predecessor and successor companies, and each of its and their present, former, and future stockholders, officers, directors, employees, agents, representatives, attorneys, insurers and assigns (collectively as “</w:t>
      </w:r>
      <w:r>
        <w:rPr>
          <w:rFonts w:ascii="Times New Roman" w:hAnsi="Times New Roman"/>
          <w:color w:val="000000"/>
          <w:sz w:val="24"/>
          <w:u w:val="single"/>
        </w:rPr>
        <w:t>Releasees</w:t>
      </w:r>
      <w:r>
        <w:rPr>
          <w:rFonts w:ascii="Times New Roman" w:hAnsi="Times New Roman"/>
          <w:color w:val="000000"/>
          <w:sz w:val="20"/>
        </w:rPr>
        <w:t>”</w:t>
      </w:r>
      <w:r>
        <w:rPr>
          <w:rFonts w:ascii="Times New Roman" w:hAnsi="Times New Roman"/>
          <w:color w:val="000000"/>
          <w:sz w:val="24"/>
        </w:rPr>
        <w:t>), jointly and individually, from any and all actions, causes of action, claims, suits, charges, complaints, contracts, covenants, agreements, promises, debts, accounts, damages, losses, sums of money, obligations, demands, and judgments all of any kind whatsoever, known or unknown, at law or in equity, in tort, contract, by statute, or on any other basis, for contractual, compensatory, punitive or other damages, expenses (including attorney’s fees and cost), reimbursements, or costs of any kind, which the undersigned employee ever had, now has, or may have, from the beginning of the world to the date of this Release, known or unknown, in law or equity, whether statutory or common law, whether federal, state, local or otherwise, including but not limited to any and all claims arising out of or in any way related to the undersigned’s engagement by the Company (including the hiring or termination of that engagement), or any related matters including, but not limited to claims, if any arising under the Age Discrimination in Employment Act of 1967, as amended by the Older Worker Benefits Protection Act; the Civil Rights Act of 1964, as amended; the Civil Rights Act of 1991, as amended; the Family and Medical Leave Act of 1993, as amended; the Immigration Reform and Control Act of 1986; the Americans with Disabilities Act of 1990, as amended; the Employee Retirement Income Security Act (ERISA), as amended; the Massachusetts laws against discrimination and harassment (including Mass. Gen. L. c. 151B), protecting equal rights or concerning the payment of wages (including Mass. Gen. L. c. 149, section 148 et seq. and Mass. Gen. L. c. 151, section 1A, et seq.), and federal, state or local common law, laws, statutes, ordinances or regulations. Notwithstanding the foregoing, nothing contained in this General Release and Waiver of Claims shall be construed to bar any claim by the undersigned to enforce the terms of the Agreement.</w:t>
      </w:r>
    </w:p>
    <w:p>
      <w:pPr>
        <w:pStyle w:val="TextBody"/>
        <w:bidi w:val="0"/>
        <w:spacing w:before="240" w:after="283"/>
        <w:jc w:val="left"/>
        <w:rPr>
          <w:rFonts w:ascii="Times New Roman" w:hAnsi="Times New Roman"/>
          <w:sz w:val="20"/>
        </w:rPr>
      </w:pPr>
      <w:r>
        <w:rPr>
          <w:rFonts w:ascii="Times New Roman" w:hAnsi="Times New Roman"/>
          <w:color w:val="000000"/>
          <w:sz w:val="24"/>
        </w:rPr>
        <w:t>[</w:t>
      </w:r>
      <w:r>
        <w:rPr>
          <w:rFonts w:ascii="Times New Roman" w:hAnsi="Times New Roman"/>
          <w:b/>
          <w:color w:val="000000"/>
          <w:sz w:val="24"/>
        </w:rPr>
        <w:t>For employees aged 40 and older:</w:t>
      </w:r>
    </w:p>
    <w:p>
      <w:pPr>
        <w:pStyle w:val="TextBody"/>
        <w:bidi w:val="0"/>
        <w:jc w:val="left"/>
        <w:rPr>
          <w:rFonts w:ascii="Times New Roman" w:hAnsi="Times New Roman"/>
          <w:color w:val="000000"/>
          <w:sz w:val="24"/>
        </w:rPr>
      </w:pPr>
      <w:r>
        <w:rPr>
          <w:rFonts w:ascii="Times New Roman" w:hAnsi="Times New Roman"/>
          <w:color w:val="000000"/>
          <w:sz w:val="24"/>
        </w:rPr>
        <w:t>Releasor represents and acknowledges the following:</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that Releasor understands the various claims Releasor could have asserted under federal or state law, including but not limited to the Age Discrimination in Employment Act, Mass. Gen. L. c. 151B, the Massachusetts Wage Act and Massachusetts overtime pay law and other similar laws;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has read this General Release carefully and understands all of its provisions;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understands that Releasor has the right to and is advised to consult an attorney concerning this General Release and in particular the waiver of rights Releasor might have under the laws described herein and that to the extent, if any, that Releasor desired, Releasor availed himself or herself of this right;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has been provided at least twenty-one (21) days to consider whether to sign this General Release and that to the extent Releasor has signed this General Release before the expiration of such twenty-one (21) day period Releasor has done so knowingly and willingly;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enters into this General Release and waives any claims knowingly and willingly; and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w:t>
      </w:r>
    </w:p>
    <w:p>
      <w:pPr>
        <w:pStyle w:val="TextBody"/>
        <w:bidi w:val="0"/>
        <w:jc w:val="left"/>
        <w:rPr>
          <w:rFonts w:ascii="Times New Roman" w:hAnsi="Times New Roman"/>
          <w:color w:val="000000"/>
          <w:sz w:val="24"/>
        </w:rPr>
      </w:pPr>
      <w:r>
        <w:rPr>
          <w:rFonts w:ascii="Times New Roman" w:hAnsi="Times New Roman"/>
          <w:color w:val="000000"/>
          <w:sz w:val="24"/>
        </w:rPr>
        <w:t>that this General Release shall become effective seven (7) business days after it is signed. Releasor may revoke this General Release within seven (7) business days after it is signed by delivering a written notice of rescission to Chair of Compensation Committee, Organogenesis Holdings Inc., 85 Dan Road, Canton, Massachusetts 02021. To be effective, the notice of rescission must be hand delivered, or postmarked within the seven (7) business day period and sent by certified mail, return receipt requested, to the referenced address.]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Signed and sealed this ____ day of _____________, 20__.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Signed: __________________________</w:t>
      </w:r>
    </w:p>
    <w:p>
      <w:pPr>
        <w:pStyle w:val="TextBody"/>
        <w:bidi w:val="0"/>
        <w:spacing w:before="240" w:after="283"/>
        <w:jc w:val="left"/>
        <w:rPr>
          <w:rFonts w:ascii="Times New Roman" w:hAnsi="Times New Roman"/>
          <w:sz w:val="20"/>
        </w:rPr>
      </w:pPr>
      <w:r>
        <w:rPr>
          <w:rFonts w:ascii="Times New Roman" w:hAnsi="Times New Roman"/>
          <w:color w:val="000000"/>
          <w:sz w:val="24"/>
        </w:rPr>
        <w:t>Name (print): ___________________________</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u w:val="single"/>
        </w:rPr>
      </w:pPr>
      <w:bookmarkStart w:id="25" w:name="orgo-ex10_2.htm"/>
      <w:bookmarkStart w:id="26" w:name="ksorgoex10_2"/>
      <w:bookmarkEnd w:id="25"/>
      <w:bookmarkEnd w:id="26"/>
      <w:r>
        <w:rPr>
          <w:rFonts w:ascii="Times New Roman" w:hAnsi="Times New Roman"/>
          <w:b/>
          <w:color w:val="000000"/>
          <w:sz w:val="24"/>
          <w:u w:val="single"/>
        </w:rPr>
        <w:t>Exhibit 10.2</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KEY EMPLOYEE RETENTION AGREEMENT</w:t>
      </w:r>
    </w:p>
    <w:p>
      <w:pPr>
        <w:pStyle w:val="TextBody"/>
        <w:bidi w:val="0"/>
        <w:spacing w:before="240" w:after="283"/>
        <w:jc w:val="left"/>
        <w:rPr>
          <w:rFonts w:ascii="Times New Roman" w:hAnsi="Times New Roman"/>
          <w:sz w:val="20"/>
        </w:rPr>
      </w:pPr>
      <w:r>
        <w:rPr>
          <w:rFonts w:ascii="Times New Roman" w:hAnsi="Times New Roman"/>
          <w:color w:val="000000"/>
          <w:sz w:val="24"/>
        </w:rPr>
        <w:t>This Key Employee Retention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entered into as of [</w:t>
      </w:r>
      <w:r>
        <w:rPr>
          <w:rFonts w:ascii="Times New Roman" w:hAnsi="Times New Roman"/>
          <w:i/>
          <w:color w:val="000000"/>
          <w:sz w:val="24"/>
        </w:rPr>
        <w:t>date</w:t>
      </w:r>
      <w:r>
        <w:rPr>
          <w:rFonts w:ascii="Times New Roman" w:hAnsi="Times New Roman"/>
          <w:color w:val="000000"/>
          <w:sz w:val="24"/>
        </w:rPr>
        <w:t>], by and between Organogenesis Holdings Inc., a Delaware corporation with its principal offices located at 85 Dan Road, Canton, Massachusetts 02021 (together with its successors and assigns, the "</w:t>
      </w:r>
      <w:r>
        <w:rPr>
          <w:rFonts w:ascii="Times New Roman" w:hAnsi="Times New Roman"/>
          <w:color w:val="000000"/>
          <w:sz w:val="24"/>
          <w:u w:val="single"/>
        </w:rPr>
        <w:t>Company</w:t>
      </w:r>
      <w:r>
        <w:rPr>
          <w:rFonts w:ascii="Times New Roman" w:hAnsi="Times New Roman"/>
          <w:color w:val="000000"/>
          <w:sz w:val="24"/>
        </w:rPr>
        <w:t>"), and [</w:t>
      </w:r>
      <w:r>
        <w:rPr>
          <w:rFonts w:ascii="Times New Roman" w:hAnsi="Times New Roman"/>
          <w:i/>
          <w:color w:val="000000"/>
          <w:sz w:val="24"/>
        </w:rPr>
        <w:t>name of executive</w:t>
      </w:r>
      <w:r>
        <w:rPr>
          <w:rFonts w:ascii="Times New Roman" w:hAnsi="Times New Roman"/>
          <w:color w:val="000000"/>
          <w:sz w:val="24"/>
        </w:rPr>
        <w:t>] (the "</w:t>
      </w:r>
      <w:r>
        <w:rPr>
          <w:rFonts w:ascii="Times New Roman" w:hAnsi="Times New Roman"/>
          <w:color w:val="000000"/>
          <w:sz w:val="24"/>
          <w:u w:val="single"/>
        </w:rPr>
        <w:t>Executive</w:t>
      </w:r>
      <w:r>
        <w:rPr>
          <w:rFonts w:ascii="Times New Roman" w:hAnsi="Times New Roman"/>
          <w:color w:val="000000"/>
          <w:sz w:val="24"/>
        </w:rPr>
        <w:t>"). This Agreement supersedes and replaces that certain Change in Control Retention Agreement dated as of [</w:t>
      </w:r>
      <w:r>
        <w:rPr>
          <w:rFonts w:ascii="Times New Roman" w:hAnsi="Times New Roman"/>
          <w:i/>
          <w:color w:val="000000"/>
          <w:sz w:val="24"/>
        </w:rPr>
        <w:t>date</w:t>
      </w:r>
      <w:r>
        <w:rPr>
          <w:rFonts w:ascii="Times New Roman" w:hAnsi="Times New Roman"/>
          <w:color w:val="000000"/>
          <w:sz w:val="24"/>
        </w:rPr>
        <w:t>] by and between the Company and the Executive (the “</w:t>
      </w:r>
      <w:r>
        <w:rPr>
          <w:rFonts w:ascii="Times New Roman" w:hAnsi="Times New Roman"/>
          <w:color w:val="000000"/>
          <w:sz w:val="24"/>
          <w:u w:val="single"/>
        </w:rPr>
        <w:t>CIC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WHEREAS, the Executive is currently employed by the Company as an executive officer of the Company; and</w:t>
      </w:r>
    </w:p>
    <w:p>
      <w:pPr>
        <w:pStyle w:val="TextBody"/>
        <w:bidi w:val="0"/>
        <w:spacing w:before="240" w:after="283"/>
        <w:jc w:val="left"/>
        <w:rPr>
          <w:rFonts w:ascii="Times New Roman" w:hAnsi="Times New Roman"/>
          <w:sz w:val="20"/>
        </w:rPr>
      </w:pPr>
      <w:r>
        <w:rPr>
          <w:rFonts w:ascii="Times New Roman" w:hAnsi="Times New Roman"/>
          <w:color w:val="000000"/>
          <w:sz w:val="24"/>
        </w:rPr>
        <w:t>WHEREAS,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after a recommendation from the Compensation Committee of the Board, has determined that it is in the best interests of the Company and its stockholders (i) to assure that the Company will have the continued dedication of the Executive, notwithstanding the possibility, threat or occurrence of a Change in Control (as defined below) of the Company and (ii) to provide the Executive certain severance benefits in the event the Executive’s employment with the Company terminates under certain circumstances as set forth herein;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NOW, THEREFORE, in consideration of the mutual covenants and agreements set forth herein, the parties agree as follows: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Termination of Employment Following a Change in Control</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Definition of Terms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color w:val="000000"/>
        </w:rPr>
        <w:t>“</w:t>
      </w:r>
      <w:r>
        <w:rPr>
          <w:rFonts w:ascii="Times New Roman" w:hAnsi="Times New Roman"/>
          <w:color w:val="000000"/>
          <w:sz w:val="24"/>
          <w:u w:val="single"/>
        </w:rPr>
        <w:t>Accelerated Vesting Benefit</w:t>
      </w:r>
      <w:r>
        <w:rPr>
          <w:color w:val="000000"/>
        </w:rPr>
        <w:t xml:space="preserve">” </w:t>
      </w:r>
      <w:r>
        <w:rPr>
          <w:rFonts w:ascii="Times New Roman" w:hAnsi="Times New Roman"/>
          <w:color w:val="000000"/>
          <w:sz w:val="24"/>
        </w:rPr>
        <w:t>shall mean that, notwithstanding anything to the contrary in any applicable option agreement or stock-based award agreement, all time-based stock options and other time-based stock-based awards held by the Executive shall immediately accelerate and become fully exercisable, vested or nonforfeitable as of the date of the Executive’s termination of employment with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rPr>
        <w:t>"</w:t>
      </w:r>
      <w:r>
        <w:rPr>
          <w:rFonts w:ascii="Times New Roman" w:hAnsi="Times New Roman"/>
          <w:color w:val="000000"/>
          <w:sz w:val="24"/>
          <w:u w:val="single"/>
        </w:rPr>
        <w:t>Change in Control</w:t>
      </w:r>
      <w:r>
        <w:rPr>
          <w:rFonts w:ascii="Times New Roman" w:hAnsi="Times New Roman"/>
          <w:color w:val="000000"/>
          <w:sz w:val="24"/>
        </w:rPr>
        <w:t>" shall mean the occurrence of any of the following: (i) the acquisition by an individual, entity, group or any other person of beneficial ownership of more than fifty percent (50%) or more of either (x) the then-outstanding shares of common stock of the Company or (y) the combined voting power of the election of directors for the Company; and/or (ii) the sale of substantially all of the Company's assets or a merger or sale of stock wherein the holders of the Company's capital stock immediately prior to such sale do not hold at least a majority of the outstanding capital stock of the Company or its successor immediately following such sale; (iii) the Company’s stockholders approve and complete any plan or proposal for the liquidation or dissolution of the Company; and/or (iv) individuals who, as of the date hereof, constitute the Board (the "</w:t>
      </w:r>
      <w:r>
        <w:rPr>
          <w:rFonts w:ascii="Times New Roman" w:hAnsi="Times New Roman"/>
          <w:color w:val="000000"/>
          <w:sz w:val="24"/>
          <w:u w:val="single"/>
        </w:rPr>
        <w:t>Incumbent Board</w:t>
      </w:r>
      <w:r>
        <w:rPr>
          <w:rFonts w:ascii="Times New Roman" w:hAnsi="Times New Roman"/>
          <w:color w:val="000000"/>
          <w:sz w:val="24"/>
        </w:rPr>
        <w:t xml:space="preserve">") cease for any reason to constitute at least a majority of the Board; provided, however, that any individual becoming a director subsequently to the date hereof whose election, or nomination for election by the Company's stockholders, was approved by a vote of at least a majority of the directors then comprising the Incumbent Board shall be considered as though such individual were a member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of the Incumbent Board, but excluding, for this purpose, any such individual whose initial assumption of office occurs as result of an actual or threatened election contest with respect to the election or removal of directors or other actual or threatened solicitation of proxies or consents by or on behalf of a person other than the Board.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color w:val="000000"/>
        </w:rPr>
        <w:t>“</w:t>
      </w:r>
      <w:r>
        <w:rPr>
          <w:rFonts w:ascii="Times New Roman" w:hAnsi="Times New Roman"/>
          <w:color w:val="000000"/>
          <w:sz w:val="24"/>
          <w:u w:val="single"/>
        </w:rPr>
        <w:t>CIC Severance Amount</w:t>
      </w:r>
      <w:r>
        <w:rPr>
          <w:color w:val="000000"/>
        </w:rPr>
        <w:t xml:space="preserve">” </w:t>
      </w:r>
      <w:r>
        <w:rPr>
          <w:rFonts w:ascii="Times New Roman" w:hAnsi="Times New Roman"/>
          <w:color w:val="000000"/>
          <w:sz w:val="24"/>
        </w:rPr>
        <w:t>shall be an amount equal to one and a half times the sum of (i) the Executive’s base annual salary and (ii) the Executive’s annual target bonus, in each case at the highest rate in effect at any time during the 12 months immediately preceding the termination of the Executive’s employment with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color w:val="000000"/>
        </w:rPr>
        <w:t>“</w:t>
      </w:r>
      <w:r>
        <w:rPr>
          <w:rFonts w:ascii="Times New Roman" w:hAnsi="Times New Roman"/>
          <w:color w:val="000000"/>
          <w:sz w:val="24"/>
          <w:u w:val="single"/>
        </w:rPr>
        <w:t>Continuation Benefits</w:t>
      </w:r>
      <w:r>
        <w:rPr>
          <w:color w:val="000000"/>
        </w:rPr>
        <w:t xml:space="preserve">” </w:t>
      </w:r>
      <w:r>
        <w:rPr>
          <w:rFonts w:ascii="Times New Roman" w:hAnsi="Times New Roman"/>
          <w:color w:val="000000"/>
          <w:sz w:val="24"/>
        </w:rPr>
        <w:t xml:space="preserve">shall consist of the Company paying the difference between the cost of COBRA continuation coverage, should the Executive elect to receive it, for the Executive and any dependent who received health insurance coverage prior to termination of the Executive’s employment with the Company, and any premium contribution amount applicable to the Executive as of such termination, for a specified period following the date of termination of the Executive’s employment with the Company. Continuation Benefits otherwise receivable by the Executive will be reduced to the extent benefits of the same type are received by the Executive during such specified period (and any such benefits received by the Executive shall be reported by the Executive to the Company).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40"/>
        <w:jc w:val="both"/>
        <w:rPr/>
      </w:pPr>
      <w:r>
        <w:rPr>
          <w:rFonts w:ascii="Times New Roman" w:hAnsi="Times New Roman"/>
          <w:color w:val="000000"/>
          <w:sz w:val="24"/>
        </w:rPr>
        <w:t>An "</w:t>
      </w:r>
      <w:r>
        <w:rPr>
          <w:rFonts w:ascii="Times New Roman" w:hAnsi="Times New Roman"/>
          <w:color w:val="000000"/>
          <w:sz w:val="24"/>
          <w:u w:val="single"/>
        </w:rPr>
        <w:t>Event of Constructive Termination</w:t>
      </w:r>
      <w:r>
        <w:rPr>
          <w:rFonts w:ascii="Times New Roman" w:hAnsi="Times New Roman"/>
          <w:color w:val="000000"/>
          <w:sz w:val="24"/>
        </w:rPr>
        <w:t xml:space="preserve">" shall mean the occurrence of any of the following events: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relocation of the Executive's principal workplace to a location more than 50 miles from the location of the Executive’s prior workplace without the Executive's express written consent;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material diminution in the Executive’s authority, duties or responsibilities, provided that, a material diminution of the Executive’s authority, duties or responsibilities shall be deemed to have occurred if the Executive ceases to have such authorities, duties or responsibilities with respect to the entity which is the ultimate parent entity of the Company following a Change in Control;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material diminution in the Executive's compensation or benefits without the express written consent of the Executive; or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(iv)</w:t>
      </w:r>
    </w:p>
    <w:p>
      <w:pPr>
        <w:pStyle w:val="TextBody"/>
        <w:bidi w:val="0"/>
        <w:jc w:val="left"/>
        <w:rPr>
          <w:rFonts w:ascii="Times New Roman" w:hAnsi="Times New Roman"/>
          <w:color w:val="000000"/>
          <w:sz w:val="24"/>
        </w:rPr>
      </w:pPr>
      <w:r>
        <w:rPr>
          <w:rFonts w:ascii="Times New Roman" w:hAnsi="Times New Roman"/>
          <w:color w:val="000000"/>
          <w:sz w:val="24"/>
        </w:rPr>
        <w:t xml:space="preserve">any other action or inaction that constitutes a material breach by the Company of any written agreement under which the Executive provides services to the Company; </w:t>
      </w:r>
    </w:p>
    <w:p>
      <w:pPr>
        <w:pStyle w:val="TextBody"/>
        <w:bidi w:val="0"/>
        <w:spacing w:before="240" w:after="283"/>
        <w:jc w:val="left"/>
        <w:rPr>
          <w:rFonts w:ascii="Times New Roman" w:hAnsi="Times New Roman"/>
          <w:sz w:val="20"/>
        </w:rPr>
      </w:pPr>
      <w:r>
        <w:rPr>
          <w:rFonts w:ascii="Times New Roman" w:hAnsi="Times New Roman"/>
          <w:color w:val="000000"/>
          <w:sz w:val="24"/>
        </w:rPr>
        <w:t>provided, that no such event or occurrence shall constitute an Event of Constructive Termination unless (x) written notice thereof is given by the Executive to the Company within ninety (90) days of its occurrence, (y) the Company shall fail to remedy or cure such event or occurrence within thirty (30) days following its receipt of such notice from the Executive, and (z) the Executive shall within sixty (60) days after the expiration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such 30-day period give written notice to the Company of the Executive’s election to terminate the Executive’s employment pursuant to this paragraph by reason of such event or occurrence.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color w:val="000000"/>
        </w:rPr>
        <w:t>“</w:t>
      </w:r>
      <w:r>
        <w:rPr>
          <w:rFonts w:ascii="Times New Roman" w:hAnsi="Times New Roman"/>
          <w:color w:val="000000"/>
          <w:sz w:val="24"/>
          <w:u w:val="single"/>
        </w:rPr>
        <w:t>Non-CIC Severance Amount</w:t>
      </w:r>
      <w:r>
        <w:rPr>
          <w:color w:val="000000"/>
        </w:rPr>
        <w:t xml:space="preserve">” </w:t>
      </w:r>
      <w:r>
        <w:rPr>
          <w:rFonts w:ascii="Times New Roman" w:hAnsi="Times New Roman"/>
          <w:color w:val="000000"/>
          <w:sz w:val="24"/>
        </w:rPr>
        <w:t>shall be an amount equal to one times the Executive’s base annual salary at the highest rate in effect at any time during the 12 months immediately preceding the termination of the Executive’s employment with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left"/>
        <w:rPr/>
      </w:pPr>
      <w:r>
        <w:rPr>
          <w:rFonts w:ascii="Times New Roman" w:hAnsi="Times New Roman"/>
          <w:color w:val="000000"/>
          <w:sz w:val="24"/>
          <w:u w:val="single"/>
        </w:rPr>
        <w:t>Termination for Cause</w:t>
      </w:r>
      <w:r>
        <w:rPr>
          <w:rFonts w:ascii="Times New Roman" w:hAnsi="Times New Roman"/>
          <w:color w:val="000000"/>
          <w:sz w:val="24"/>
        </w:rPr>
        <w:t>. In the event of termination of the Executive's employment for Cause, all compensation of the Executive and any other rights the Executive may have under this Agreement shall cease upon the termination date of the Executive’s employment, the Executive shall receive no Non-CIC Severance Amount, no CIC Severance Amount, no Continuation Benefits, no Accelerated Vesting Benefit and no further payments or benefits shall be paid or payable to the Executive by the Company for any period thereafter, except to the extent that the Executive shall have accrued benefits under any retirement plan adopted by the Company for the benefit of its employees and except for all compensation owing hereunder to the Executive as of the date of termination for Cause.</w:t>
      </w:r>
    </w:p>
    <w:p>
      <w:pPr>
        <w:pStyle w:val="Heading2"/>
        <w:bidi w:val="0"/>
        <w:spacing w:before="240" w:after="283"/>
        <w:jc w:val="left"/>
        <w:rPr>
          <w:rFonts w:ascii="Times New Roman" w:hAnsi="Times New Roman"/>
          <w:sz w:val="20"/>
        </w:rPr>
      </w:pPr>
      <w:r>
        <w:rPr>
          <w:rFonts w:ascii="Times New Roman" w:hAnsi="Times New Roman"/>
          <w:b w:val="false"/>
          <w:color w:val="000000"/>
          <w:sz w:val="24"/>
        </w:rPr>
        <w:t>For purposes of this Agreement, "</w:t>
      </w:r>
      <w:r>
        <w:rPr>
          <w:rFonts w:ascii="Times New Roman" w:hAnsi="Times New Roman"/>
          <w:b w:val="false"/>
          <w:color w:val="000000"/>
          <w:sz w:val="24"/>
          <w:u w:val="single"/>
        </w:rPr>
        <w:t>Cause</w:t>
      </w:r>
      <w:r>
        <w:rPr>
          <w:rFonts w:ascii="Times New Roman" w:hAnsi="Times New Roman"/>
          <w:b w:val="false"/>
          <w:color w:val="000000"/>
          <w:sz w:val="24"/>
        </w:rPr>
        <w:t>" shall mean: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Executive has been charged by the United States or a state or political subdivision thereof with conduct which is a felony or which is a misdemeanor involving moral turpitude, deceit, dishonesty or fraud under the laws of the United States or any state or political subdivision thereof;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fraud or embezzlement by the Executive with respect to funds of the Company or dishonest, unethical or improper conduct by the Executive that has had, or is reasonably likely to have, a material adverse impact on the reputation for honesty and fair dealing of the Company;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Executive’s failure to comply with lawful instructions not inconsistent with this Agreement given to the Executive by the Board, which failure is not cured or corrected within thirty (30) days after the Executive’s receipt of written notice from the Company referring to this paragraph and describing with specificity the instructions with which the Executive did not comply;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Executive’s material failure to comply with reasonable policies, directives, standards and regulations adopted by the Company, including, without limitation, the Company’s policies regarding insider trading, except any such failure, that, if capable of cure, is remedied by the Executive within thirty (30) days after the Executive’s receipt of written notice from the Company referring to this paragraph and describing with specificity the failure of the Executive to comply;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pPr>
      <w:r>
        <w:rPr>
          <w:rFonts w:ascii="Times New Roman" w:hAnsi="Times New Roman"/>
          <w:color w:val="000000"/>
          <w:sz w:val="24"/>
        </w:rPr>
        <w:t>material breach by the Executive of the Invention, Non-Disclosure and Non-Competition Agreement by and between the Executive and the Company (the “</w:t>
      </w:r>
      <w:r>
        <w:rPr>
          <w:rFonts w:ascii="Times New Roman" w:hAnsi="Times New Roman"/>
          <w:color w:val="000000"/>
          <w:sz w:val="24"/>
          <w:u w:val="single"/>
        </w:rPr>
        <w:t>Employee Agreement</w:t>
      </w:r>
      <w:r>
        <w:rPr>
          <w:color w:val="000000"/>
        </w:rPr>
        <w:t>”</w:t>
      </w:r>
      <w:r>
        <w:rPr>
          <w:rFonts w:ascii="Times New Roman" w:hAnsi="Times New Roman"/>
          <w:color w:val="000000"/>
          <w:sz w:val="24"/>
        </w:rPr>
        <w:t xml:space="preserve">) or any other written agreement between the Executive and the Company, except any such breach, that, if capable of cure, is remedied by the Executive within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thirty (30) days after the Executive’s receipt of written notice from the Company referring to this paragraph and describing with specificity the breach by the Executive.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left"/>
        <w:rPr/>
      </w:pPr>
      <w:r>
        <w:rPr>
          <w:rFonts w:ascii="Times New Roman" w:hAnsi="Times New Roman"/>
          <w:color w:val="000000"/>
          <w:sz w:val="24"/>
          <w:u w:val="single"/>
        </w:rPr>
        <w:t>Voluntary Termination by Executive</w:t>
      </w: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The Executive may voluntarily terminate the Executive’s employment at any time by written notice to the Company, in which case the Executive shall receive no Non-CIC Severance Amount, no CIC Severance Amount, no Continuation Benefits, no Accelerated Vesting Benefit and no further payments or benefits shall be paid or payable to the Executive by the Company for any period after such termination of employment, except to the extent that the Executive shall have accrued benefits under any plan adopted by the Company for the benefit of its employees generally and except for all compensation owing hereunder to the Executive as of the date of voluntary termination.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the foregoing: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the occurrence of an Event of Constructive Termination at any time during the 24-month period following a Change in Control, the Executive may, by written notice to the Company pursuant to clause (z) of Section 1.1(e) above, voluntarily terminate the Executive’s employment with the Company, and in such event: (i) the Company shall pay to the Executive in a lump sum on the next regularly-scheduled payroll date following the Release Effective Date (as defined below) the CIC Severance Amount, plus all other compensation, including, without limitation, any commissions earned but not yet paid, owed by the Company to the Executive as of the date of the Executive’s termination; (ii) the Company shall provide to the Executive the Continuation Benefits for a period of 18 months following such termination; and (iii) the Executive shall receive the Accelerated Vesting Benefit as of such date of termination; and</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upon the occurrence of an Event of Constructive Termination at any time prior to a Change in Control or at any time after the 24-month anniversary of a Change in Control, the Executive may, by written notice to the Company pursuant to clause (z) of Section 1.1(e) above, voluntarily terminate the Executive’s employment with the Company, and in such event: (i) the Company shall pay to the Executive the Non-CIC Severance Amount in substantially equal installments in accordance with the Company's payroll practice over twelve months beginning on the next regularly-scheduled payroll date following the Release Effective Date, plus all other compensation, including, without limitation, any commissions earned but not yet paid, owed by the Company to the Executive as of the date of the Executive’s termination and (ii) the Company shall provide to the Executive the Continuation Benefits for a period of 12 months following such termination.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left"/>
        <w:rPr/>
      </w:pPr>
      <w:r>
        <w:rPr>
          <w:rFonts w:ascii="Times New Roman" w:hAnsi="Times New Roman"/>
          <w:color w:val="000000"/>
          <w:sz w:val="24"/>
          <w:u w:val="single"/>
        </w:rPr>
        <w:t>Termination by the Company without Cause</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In the event that the Executive's employment under this Agreement is terminated by the Company other than for Cause at any time during the 24-month period following a Change in Control, then: (i), the Company shall pay to the Executive in a lump sum on the next regularly-scheduled payroll date following the Release Effective Date the CIC Severance Amount, plus all other compensation, including, without limitation, any commissions earned but not yet paid, owed by the Company to the Executive as of the date of the Executive’s termination; (ii) the Company shall provide to the Executive the Continuation Benefits for a period of 18 months following such termination; and (iii)</w:t>
      </w:r>
      <w:r>
        <w:rPr>
          <w:color w:val="000000"/>
        </w:rPr>
        <w:t xml:space="preserve"> </w:t>
      </w:r>
      <w:r>
        <w:rPr>
          <w:rFonts w:ascii="Times New Roman" w:hAnsi="Times New Roman"/>
          <w:color w:val="000000"/>
          <w:sz w:val="24"/>
        </w:rPr>
        <w:t>the Executive shall receive the Accelerated Vesting Benefit as of such date of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Executive's employment under this Agreement is terminated by the Company other than for Cause at any time prior to a Change in Control or at any time after the 24-month anniversary of a Change in Control, then: (i), the Company shall pay to the Executive the Non-CIC Severance Amount in substantially equal installments in accordance with the Company's payroll practice over twelve months beginning on the next regularly-scheduled payroll date following the Release Effective Date, plus all other compensation, including, without limitation, any commissions earned but not yet paid, owed by the Company to the Executive as of the date of the Executive’s termination and (ii) the Company shall provide to the Executive the Continuation Benefits for a period of 12 months following such termination.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pPr>
      <w:r>
        <w:rPr>
          <w:rFonts w:ascii="Times New Roman" w:hAnsi="Times New Roman"/>
          <w:color w:val="000000"/>
          <w:sz w:val="24"/>
          <w:u w:val="single"/>
        </w:rPr>
        <w:t>Other Provisions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left"/>
        <w:rPr/>
      </w:pPr>
      <w:r>
        <w:rPr>
          <w:rFonts w:ascii="Times New Roman" w:hAnsi="Times New Roman"/>
          <w:color w:val="000000"/>
          <w:sz w:val="24"/>
          <w:u w:val="single"/>
        </w:rPr>
        <w:t>Amounts Payable Less Withholding Taxes</w:t>
      </w:r>
      <w:r>
        <w:rPr>
          <w:rFonts w:ascii="Times New Roman" w:hAnsi="Times New Roman"/>
          <w:color w:val="000000"/>
          <w:sz w:val="24"/>
        </w:rPr>
        <w:t>. The amounts payable by the Company hereunder shall be less any applicable withholding for federal, state or local income and employment taxes.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Parachute Payments</w:t>
      </w:r>
      <w:r>
        <w:rPr>
          <w:rFonts w:ascii="Times New Roman" w:hAnsi="Times New Roman"/>
          <w:color w:val="000000"/>
          <w:sz w:val="24"/>
        </w:rPr>
        <w:t>. In the event that the Non-CIC Severance Amount, the CIC Severance Amount, the Continuation Benefits, the Accelerated Vesting Benefits and other benefits provided for in this Agreement or otherwise payable to the Executive (i) constitute “parachute payments” within the meaning of Section 280G of the Internal Revenue Code of 1986, as amended (the “</w:t>
      </w:r>
      <w:r>
        <w:rPr>
          <w:rFonts w:ascii="Times New Roman" w:hAnsi="Times New Roman"/>
          <w:color w:val="000000"/>
          <w:sz w:val="24"/>
          <w:u w:val="single"/>
        </w:rPr>
        <w:t>Code</w:t>
      </w:r>
      <w:r>
        <w:rPr>
          <w:color w:val="000000"/>
        </w:rPr>
        <w:t>”</w:t>
      </w:r>
      <w:r>
        <w:rPr>
          <w:rFonts w:ascii="Times New Roman" w:hAnsi="Times New Roman"/>
          <w:color w:val="000000"/>
          <w:sz w:val="24"/>
        </w:rPr>
        <w:t>), and (ii) would be subject to the excise tax imposed by Section 4999 of the Code (the “</w:t>
      </w:r>
      <w:r>
        <w:rPr>
          <w:rFonts w:ascii="Times New Roman" w:hAnsi="Times New Roman"/>
          <w:color w:val="000000"/>
          <w:sz w:val="24"/>
          <w:u w:val="single"/>
        </w:rPr>
        <w:t>Excise Tax</w:t>
      </w:r>
      <w:r>
        <w:rPr>
          <w:color w:val="000000"/>
        </w:rPr>
        <w:t>”</w:t>
      </w:r>
      <w:r>
        <w:rPr>
          <w:rFonts w:ascii="Times New Roman" w:hAnsi="Times New Roman"/>
          <w:color w:val="000000"/>
          <w:sz w:val="24"/>
        </w:rPr>
        <w:t>), then the Executive’s benefits under this Agreement shall be either: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delivered in full,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delivered as to such lesser extent which would result in no portion of such benefits being subject to the Excise Tax, whichever of the foregoing amounts, taking into account the applicable federal, state and local income taxes and the Excise Tax, results in the receipt by the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reduction of cash payments, cancellation of equity awards granted within the 12-month period prior to a “change in control” (as determined under Code Section 280G) that are deemed to have been granted contingent upon the change in control (as determined under Code Section 280G), cancellation of accelerated vesting of equity awards, reduction of employee benefits.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Unless the Company and the Executive otherwise agree in writing, any determination required under this Section shall be made in writing by the Company’s independent public accountants (the “</w:t>
      </w:r>
      <w:r>
        <w:rPr>
          <w:rFonts w:ascii="Times New Roman" w:hAnsi="Times New Roman"/>
          <w:color w:val="000000"/>
          <w:sz w:val="24"/>
          <w:u w:val="single"/>
        </w:rPr>
        <w:t>Accountants</w:t>
      </w:r>
      <w:r>
        <w:rPr>
          <w:rFonts w:ascii="Times New Roman" w:hAnsi="Times New Roman"/>
          <w:color w:val="000000"/>
          <w:sz w:val="20"/>
        </w:rPr>
        <w:t>”</w:t>
      </w:r>
      <w:r>
        <w:rPr>
          <w:rFonts w:ascii="Times New Roman" w:hAnsi="Times New Roman"/>
          <w:color w:val="000000"/>
          <w:sz w:val="24"/>
        </w:rPr>
        <w:t>), whose determination shall be conclusive and binding upon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 280G and 4999 of the Code. The Company and the Executive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40"/>
        <w:jc w:val="both"/>
        <w:rPr/>
      </w:pPr>
      <w:r>
        <w:rPr>
          <w:rFonts w:ascii="Times New Roman" w:hAnsi="Times New Roman"/>
          <w:color w:val="000000"/>
          <w:sz w:val="24"/>
          <w:u w:val="single"/>
        </w:rPr>
        <w:t>Section 409A</w:t>
      </w:r>
      <w:r>
        <w:rPr>
          <w:rFonts w:ascii="Times New Roman" w:hAnsi="Times New Roman"/>
          <w:color w:val="000000"/>
          <w:sz w:val="24"/>
        </w:rPr>
        <w:t>. It is intended that this Agreement comply with or be exempt from Section 409A of the Code and the Treasury Regulations and IRS guidance thereunder (collectively referred to as “</w:t>
      </w:r>
      <w:r>
        <w:rPr>
          <w:rFonts w:ascii="Times New Roman" w:hAnsi="Times New Roman"/>
          <w:color w:val="000000"/>
          <w:sz w:val="24"/>
          <w:u w:val="single"/>
        </w:rPr>
        <w:t>Section 409A</w:t>
      </w:r>
      <w:r>
        <w:rPr>
          <w:color w:val="000000"/>
        </w:rPr>
        <w:t>”</w:t>
      </w:r>
      <w:r>
        <w:rPr>
          <w:rFonts w:ascii="Times New Roman" w:hAnsi="Times New Roman"/>
          <w:color w:val="000000"/>
          <w:sz w:val="24"/>
        </w:rPr>
        <w:t xml:space="preserve">). Notwithstanding anything to the contrary in this Agreement, this Agreement shall, to the maximum extent possible, be administered, interpreted, and construed in a manner consistent with Section 409A. If and to the extent required to comply with Section 409A, no payment or benefit required to be paid under this Agreement on account of termination of the Executive’s employment shall be made unless and until the Executive has a “separation from service” within the meaning of Section 409A. If any provision of this Agreement provides for payment within a time period, the determination of when such payment shall be made within such time period shall be solely in the discretion of the Company; provided, however, that if for the period for providing and not revoking a Release at Section 2.4 below spans two calendar years, no payment shall be made until the second calendar year. In the case of any amounts payable under this Agreement that may be treated as payable in the form of “a series of installment payments,” as defined in Treasury Regulation Section 1.409A-2(b)(2)(iii), the right to receive such payments shall be treated as a right to receive a series of separate payments for purposes of such Treasury Regulation. If the Executive is a “specified employee” as determined pursuant to Section 409A as of the date of termination of employment and if any payment or benefit provided for in this Agreement or otherwise both (x) constitutes a “deferral of compensation” within the meaning of Section 409A and (y) cannot be paid or provided in the manner otherwise provided without subjecting the Executive to additional tax, interest, or penalties under Section 409A, then any such payment or benefit shall be delayed until the earlier of (i) the date which is six (6) months after the Executive’s “separation from service” within the meaning of Section 409A for any reason other than death, or (ii) the date of the Executive’s death. Any payment or benefit otherwise payable or to be provided to the Executive upon or in the six (6) month period following “separation from service” that is not so paid or provided by reason of this Section 2.3 shall be accumulated and paid or provided to the Executive in a single lump sum, as soon as practicable (and in all events within 15 days) after the date that is six (6) months after the Executive’s “separation from service” (or, if earlier, as soon as practicable, and in all events within fifteen (15) days, after the date of the Executive’s death). All subsequent payments or benefits, if any, shall be payable or provided in accordance with the payment schedule applicable to each payment or benefit. It is the intent of this Agreement to comply with the requirements of Section 409A so that none of the severance payments and benefits to be provided hereunder shall be subject to the additional tax imposed under Section 409A, and any ambiguities herein shall be interpreted to so comply. The Company and the Executive agree to work together in good faith to consider amendments to this Agreement and to take such reasonable actions that are necessary, appropriate or desirable to avoid imposition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of any additional tax or income recognition prior to actual payment to the Executive under Section 409A.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0"/>
        <w:jc w:val="left"/>
        <w:rPr/>
      </w:pPr>
      <w:r>
        <w:rPr>
          <w:rFonts w:ascii="Times New Roman" w:hAnsi="Times New Roman"/>
          <w:color w:val="000000"/>
          <w:sz w:val="24"/>
          <w:u w:val="single"/>
        </w:rPr>
        <w:t>Noncompetition Agreement and Release</w:t>
      </w:r>
      <w:r>
        <w:rPr>
          <w:rFonts w:ascii="Times New Roman" w:hAnsi="Times New Roman"/>
          <w:color w:val="000000"/>
          <w:sz w:val="24"/>
        </w:rPr>
        <w:t>. It shall be a condition to the receipt by the Executive of any payment or benefit pursuant to this Agreement that the Executive shall have executed and delivered to the Company a noncompetition agreement (the “</w:t>
      </w:r>
      <w:r>
        <w:rPr>
          <w:rFonts w:ascii="Times New Roman" w:hAnsi="Times New Roman"/>
          <w:color w:val="000000"/>
          <w:sz w:val="24"/>
          <w:u w:val="single"/>
        </w:rPr>
        <w:t>Noncompetition Agreement</w:t>
      </w:r>
      <w:r>
        <w:rPr>
          <w:color w:val="000000"/>
        </w:rPr>
        <w:t>”</w:t>
      </w:r>
      <w:r>
        <w:rPr>
          <w:rFonts w:ascii="Times New Roman" w:hAnsi="Times New Roman"/>
          <w:color w:val="000000"/>
          <w:sz w:val="24"/>
        </w:rPr>
        <w:t xml:space="preserve">) in substantially the form attached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hereto, and a general release (the “</w:t>
      </w:r>
      <w:r>
        <w:rPr>
          <w:rFonts w:ascii="Times New Roman" w:hAnsi="Times New Roman"/>
          <w:color w:val="000000"/>
          <w:sz w:val="24"/>
          <w:u w:val="single"/>
        </w:rPr>
        <w:t>Release</w:t>
      </w:r>
      <w:r>
        <w:rPr>
          <w:color w:val="000000"/>
        </w:rPr>
        <w:t>”</w:t>
      </w:r>
      <w:r>
        <w:rPr>
          <w:rFonts w:ascii="Times New Roman" w:hAnsi="Times New Roman"/>
          <w:color w:val="000000"/>
          <w:sz w:val="24"/>
        </w:rPr>
        <w:t xml:space="preserve">) in substantially the form attached as </w:t>
      </w:r>
      <w:r>
        <w:rPr>
          <w:rFonts w:ascii="Times New Roman" w:hAnsi="Times New Roman"/>
          <w:color w:val="000000"/>
          <w:sz w:val="24"/>
          <w:u w:val="single"/>
        </w:rPr>
        <w:t xml:space="preserve">Exhibit B </w:t>
      </w:r>
      <w:r>
        <w:rPr>
          <w:rFonts w:ascii="Times New Roman" w:hAnsi="Times New Roman"/>
          <w:color w:val="000000"/>
          <w:sz w:val="24"/>
        </w:rPr>
        <w:t>hereto. The Executive acknowledges and agrees that the Employee Agreement, except to the extent superseded by the Noncompetition Agreement, is a binding and enforceable obligation of the Executive that inures to the benefit of the Company’s successors and assigns, including any corporation with which or into which the Company may be merged or which may succeed to its assets or business in a Change in Control. The timing of any payment or benefit pursuant to this Agreement shall be governed by the following provisions. The Executive must execute and deliver the Release within 21 days after termination of employment. If the Executive has revocation rights, such rights must be exercised, if at all, not later than seven business days after execution of the Release (the eighth business day following the execution and non-revocation of the Release referred to as the “</w:t>
      </w:r>
      <w:r>
        <w:rPr>
          <w:rFonts w:ascii="Times New Roman" w:hAnsi="Times New Roman"/>
          <w:color w:val="000000"/>
          <w:sz w:val="24"/>
          <w:u w:val="single"/>
        </w:rPr>
        <w:t>Release Effective Date</w:t>
      </w:r>
      <w:r>
        <w:rPr>
          <w:color w:val="000000"/>
        </w:rPr>
        <w:t>”</w:t>
      </w:r>
      <w:r>
        <w:rPr>
          <w:rFonts w:ascii="Times New Roman" w:hAnsi="Times New Roman"/>
          <w:color w:val="000000"/>
          <w:sz w:val="24"/>
        </w:rPr>
        <w:t xml:space="preserve">). The Executive shall not receive the Non-CIC Severance Amount, the CIC Severance Amount, the Accelerated Vesting Benefit, nor the Continuation Benefits unless and until any revocation period has expired and the Release is effective.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rFonts w:ascii="Times New Roman" w:hAnsi="Times New Roman"/>
          <w:color w:val="000000"/>
          <w:sz w:val="24"/>
          <w:u w:val="single"/>
        </w:rPr>
        <w:t>Notices</w:t>
      </w:r>
      <w:r>
        <w:rPr>
          <w:rFonts w:ascii="Times New Roman" w:hAnsi="Times New Roman"/>
          <w:color w:val="000000"/>
          <w:sz w:val="24"/>
        </w:rPr>
        <w:t>. Any notice or other communication required or permitted hereunder shall be in writing and shall be deemed given when delivered personally (including by overnight courier) or, if sent by regular mail, three days after the date of deposit in the United States mails addressed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the Company, to:</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Organogenesis Holdings Inc.</w:t>
        <w:br/>
        <w:t>85 Dan Road</w:t>
        <w:br/>
        <w:t>Canton, Massachusetts 02021</w:t>
        <w:br/>
        <w:t>Attention: Chair of the Compensation Committee</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if to the Executive, to the address set forth on the signature page hereto;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or to such other address as either party may from time to time provide to the other by notice as provided in this section.</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2.6.</w:t>
      </w:r>
    </w:p>
    <w:p>
      <w:pPr>
        <w:pStyle w:val="TextBody"/>
        <w:bidi w:val="0"/>
        <w:spacing w:before="0" w:after="0"/>
        <w:jc w:val="left"/>
        <w:rPr/>
      </w:pPr>
      <w:r>
        <w:rPr>
          <w:rFonts w:ascii="Times New Roman" w:hAnsi="Times New Roman"/>
          <w:color w:val="000000"/>
          <w:sz w:val="24"/>
          <w:u w:val="single"/>
        </w:rPr>
        <w:t>Entire Agreement</w:t>
      </w:r>
      <w:r>
        <w:rPr>
          <w:rFonts w:ascii="Times New Roman" w:hAnsi="Times New Roman"/>
          <w:color w:val="000000"/>
          <w:sz w:val="24"/>
        </w:rPr>
        <w:t>. This Agreement and the other agreements between the Executive and the Company referred to in this Agreement constitute the entire agreement and understanding between the Company and the Executive regarding the subject matter hereof, and supersede all prior negotiations, agreements, arrangements, and understandings, both written or oral, between the Company and the Executive with respect to the subject matter of this Agreement. Without limiting the generality of the foregoing, this Agreement supersedes and replaces the CIC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left"/>
        <w:rPr/>
      </w:pPr>
      <w:r>
        <w:rPr>
          <w:rFonts w:ascii="Times New Roman" w:hAnsi="Times New Roman"/>
          <w:color w:val="000000"/>
          <w:sz w:val="24"/>
          <w:u w:val="single"/>
        </w:rPr>
        <w:t>Waiver or Amendment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The waiver by either party of a breach or violation of any term or provision of this Agreement by the other party shall not operate or be construed as a waiver of any subsequent breach or violation of any provision of this Agreement or of any other right or remedy.</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 provision in this Agreement may be amended unless such amendment is set forth in a writing that specifically refers to this Agreement and is signed by the Executive and the Company.</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2.8.</w:t>
      </w:r>
    </w:p>
    <w:p>
      <w:pPr>
        <w:pStyle w:val="TextBody"/>
        <w:bidi w:val="0"/>
        <w:spacing w:before="240" w:after="240"/>
        <w:jc w:val="left"/>
        <w:rPr/>
      </w:pPr>
      <w:r>
        <w:rPr>
          <w:rFonts w:ascii="Times New Roman" w:hAnsi="Times New Roman"/>
          <w:color w:val="000000"/>
          <w:sz w:val="24"/>
          <w:u w:val="single"/>
        </w:rPr>
        <w:t>Governing Law</w:t>
      </w:r>
      <w:r>
        <w:rPr>
          <w:rFonts w:ascii="Times New Roman" w:hAnsi="Times New Roman"/>
          <w:color w:val="000000"/>
          <w:sz w:val="24"/>
        </w:rPr>
        <w:t>. This Agreement shall be governed by and construed in accordance with the laws of The Commonwealth of Massachusetts without regard to its conflict of laws rules.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2.9.</w:t>
      </w:r>
    </w:p>
    <w:p>
      <w:pPr>
        <w:pStyle w:val="TextBody"/>
        <w:bidi w:val="0"/>
        <w:spacing w:before="0" w:after="0"/>
        <w:jc w:val="left"/>
        <w:rPr/>
      </w:pPr>
      <w:r>
        <w:rPr>
          <w:rFonts w:ascii="Times New Roman" w:hAnsi="Times New Roman"/>
          <w:color w:val="000000"/>
          <w:sz w:val="24"/>
          <w:u w:val="single"/>
        </w:rPr>
        <w:t>Successors; Assignment</w:t>
      </w:r>
      <w:r>
        <w:rPr>
          <w:rFonts w:ascii="Times New Roman" w:hAnsi="Times New Roman"/>
          <w:color w:val="000000"/>
          <w:sz w:val="24"/>
        </w:rPr>
        <w:t>. The Company shall require any successor via a Change in Control (whether direct or indirect, by purchase, merger, consolidation or otherwise) to assume expressly and agree to perform this Agreement in the same manner and to the same extent that the Company would be required to perform it if no such succession had taken place. This Agreement shall inure to the benefit of, and shall be binding upon, each of the Company and the Executive and their respective heirs, personal representatives, legal representatives, successors and assigns.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2.10.</w:t>
      </w:r>
    </w:p>
    <w:p>
      <w:pPr>
        <w:pStyle w:val="TextBody"/>
        <w:bidi w:val="0"/>
        <w:spacing w:before="0" w:after="0"/>
        <w:jc w:val="left"/>
        <w:rPr/>
      </w:pPr>
      <w:r>
        <w:rPr>
          <w:rFonts w:ascii="Times New Roman" w:hAnsi="Times New Roman"/>
          <w:color w:val="000000"/>
          <w:sz w:val="24"/>
          <w:u w:val="single"/>
        </w:rPr>
        <w:t>Severability</w:t>
      </w:r>
      <w:r>
        <w:rPr>
          <w:rFonts w:ascii="Times New Roman" w:hAnsi="Times New Roman"/>
          <w:color w:val="000000"/>
          <w:sz w:val="24"/>
        </w:rPr>
        <w:t>. The invalidity of any one or more of the words, phrases, sentences, clauses or sections contained in this Agreement shall not affect the enforceability of the remaining portions of this Agreement or any part hereof. If any part of this Agreement shall be declared invalid by a court of competent jurisdiction, this Agreement shall be construed as if such invalid part had not been inserted.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left"/>
        <w:rPr/>
      </w:pPr>
      <w:r>
        <w:rPr>
          <w:rFonts w:ascii="Times New Roman" w:hAnsi="Times New Roman"/>
          <w:color w:val="000000"/>
          <w:sz w:val="24"/>
          <w:u w:val="single"/>
        </w:rPr>
        <w:t>Section Headings</w:t>
      </w:r>
      <w:r>
        <w:rPr>
          <w:rFonts w:ascii="Times New Roman" w:hAnsi="Times New Roman"/>
          <w:color w:val="000000"/>
          <w:sz w:val="24"/>
        </w:rPr>
        <w:t>. The section and subsection headings contained in this Agreement are for reference purposes only and shall not affect any way the meaning, construction or interpretation of any or all of the provisions of 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and by the separate parties hereto in separate counterparts, each of which shall be deemed to constitute an original and all of which shall be deemed to be one and the same instrument.</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2.13.</w:t>
      </w:r>
    </w:p>
    <w:p>
      <w:pPr>
        <w:pStyle w:val="TextBody"/>
        <w:bidi w:val="0"/>
        <w:spacing w:before="240" w:after="240"/>
        <w:jc w:val="left"/>
        <w:rPr/>
      </w:pPr>
      <w:r>
        <w:rPr>
          <w:rFonts w:ascii="Times New Roman" w:hAnsi="Times New Roman"/>
          <w:color w:val="000000"/>
          <w:sz w:val="24"/>
          <w:u w:val="single"/>
        </w:rPr>
        <w:t>Authority to Execute</w:t>
      </w:r>
      <w:r>
        <w:rPr>
          <w:rFonts w:ascii="Times New Roman" w:hAnsi="Times New Roman"/>
          <w:color w:val="000000"/>
          <w:sz w:val="24"/>
        </w:rPr>
        <w:t>. The undersigned representative of the Company represents and warrants that he has full power and authority to enter into this Agreement on behalf of the Company, and that the execution, delivery and performance of this Agreement have been authorized by the Board. Upon the Executive's acceptance of this Agreement by signing and returning it to the Company, this Agreement will become binding upon the Executive and the Company.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480"/>
        <w:jc w:val="left"/>
        <w:rPr>
          <w:rFonts w:ascii="Times New Roman" w:hAnsi="Times New Roman"/>
          <w:color w:val="000000"/>
          <w:sz w:val="24"/>
        </w:rPr>
      </w:pPr>
      <w:r>
        <w:rPr>
          <w:rFonts w:ascii="Times New Roman" w:hAnsi="Times New Roman"/>
          <w:color w:val="000000"/>
          <w:sz w:val="24"/>
        </w:rPr>
        <w:t>IN WITNESS WHEREOF, the parties have executed this Agreement as of the day and year first written above.</w:t>
      </w:r>
    </w:p>
    <w:tbl>
      <w:tblPr>
        <w:tblW w:w="7684" w:type="dxa"/>
        <w:jc w:val="left"/>
        <w:tblInd w:w="0" w:type="dxa"/>
        <w:tblLayout w:type="fixed"/>
        <w:tblCellMar>
          <w:top w:w="28" w:type="dxa"/>
          <w:left w:w="28" w:type="dxa"/>
          <w:bottom w:w="28" w:type="dxa"/>
          <w:right w:w="28" w:type="dxa"/>
        </w:tblCellMar>
      </w:tblPr>
      <w:tblGrid>
        <w:gridCol w:w="3349"/>
        <w:gridCol w:w="146"/>
        <w:gridCol w:w="4189"/>
      </w:tblGrid>
      <w:tr>
        <w:trPr/>
        <w:tc>
          <w:tcPr>
            <w:tcW w:w="3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9" w:type="dxa"/>
            <w:tcBorders/>
            <w:vAlign w:val="center"/>
          </w:tcPr>
          <w:p>
            <w:pPr>
              <w:pStyle w:val="TableContents"/>
              <w:bidi w:val="0"/>
              <w:spacing w:before="0" w:after="283"/>
              <w:jc w:val="left"/>
              <w:rPr>
                <w:sz w:val="4"/>
                <w:szCs w:val="4"/>
              </w:rPr>
            </w:pPr>
            <w:r>
              <w:rPr>
                <w:sz w:val="4"/>
                <w:szCs w:val="4"/>
              </w:rPr>
            </w:r>
          </w:p>
        </w:tc>
      </w:tr>
      <w:tr>
        <w:trPr/>
        <w:tc>
          <w:tcPr>
            <w:tcW w:w="33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bookmarkStart w:id="27" w:name="docxgobackhere1"/>
            <w:bookmarkEnd w:id="27"/>
            <w:r>
              <w:rPr>
                <w:rFonts w:ascii="Times New Roman" w:hAnsi="Times New Roman"/>
                <w:color w:val="000000"/>
                <w:sz w:val="24"/>
              </w:rPr>
              <w:t>EXECUTIVE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9"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ORGANOGENESIS HOLDINGS INC.</w:t>
            </w:r>
          </w:p>
        </w:tc>
      </w:tr>
      <w:tr>
        <w:trPr/>
        <w:tc>
          <w:tcPr>
            <w:tcW w:w="3349" w:type="dxa"/>
            <w:tcBorders/>
            <w:tcMar>
              <w:top w:w="0" w:type="dxa"/>
              <w:left w:w="0" w:type="dxa"/>
              <w:bottom w:w="0" w:type="dxa"/>
              <w:right w:w="0" w:type="dxa"/>
            </w:tcMar>
            <w:vAlign w:val="center"/>
          </w:tcPr>
          <w:p>
            <w:pPr>
              <w:pStyle w:val="TableContents"/>
              <w:bidi w:val="0"/>
              <w:ind w:left="0" w:right="0" w:firstLine="108"/>
              <w:jc w:val="left"/>
              <w:rPr/>
            </w:pPr>
            <w:r>
              <w:rPr/>
              <w:t> </w:t>
            </w:r>
          </w:p>
          <w:p>
            <w:pPr>
              <w:pStyle w:val="TableContents"/>
              <w:bidi w:val="0"/>
              <w:ind w:left="0" w:right="0" w:firstLine="108"/>
              <w:jc w:val="left"/>
              <w:rPr>
                <w:rFonts w:ascii="Times New Roman" w:hAnsi="Times New Roman"/>
                <w:color w:val="000000"/>
                <w:sz w:val="24"/>
              </w:rPr>
            </w:pPr>
            <w:r>
              <w:rPr>
                <w:rFonts w:ascii="Times New Roman" w:hAnsi="Times New Roman"/>
                <w:color w:val="000000"/>
                <w:sz w:val="24"/>
              </w:rPr>
              <w:t>__________________________</w:t>
            </w:r>
          </w:p>
          <w:p>
            <w:pPr>
              <w:pStyle w:val="TableContents"/>
              <w:bidi w:val="0"/>
              <w:ind w:left="0" w:right="0" w:firstLine="108"/>
              <w:jc w:val="left"/>
              <w:rPr>
                <w:rFonts w:ascii="Times New Roman" w:hAnsi="Times New Roman"/>
                <w:color w:val="000000"/>
                <w:sz w:val="24"/>
              </w:rPr>
            </w:pPr>
            <w:r>
              <w:rPr>
                <w:rFonts w:ascii="Times New Roman" w:hAnsi="Times New Roman"/>
                <w:color w:val="000000"/>
                <w:sz w:val="24"/>
              </w:rPr>
              <w:t>Name:</w:t>
            </w:r>
          </w:p>
          <w:p>
            <w:pPr>
              <w:pStyle w:val="TableContents"/>
              <w:bidi w:val="0"/>
              <w:ind w:left="0" w:right="0" w:firstLine="108"/>
              <w:jc w:val="left"/>
              <w:rPr>
                <w:rFonts w:ascii="Times New Roman" w:hAnsi="Times New Roman"/>
                <w:color w:val="000000"/>
                <w:sz w:val="24"/>
              </w:rPr>
            </w:pPr>
            <w:r>
              <w:rPr>
                <w:rFonts w:ascii="Times New Roman" w:hAnsi="Times New Roman"/>
                <w:color w:val="000000"/>
                <w:sz w:val="24"/>
              </w:rPr>
              <w:t>Address:</w:t>
            </w:r>
          </w:p>
          <w:p>
            <w:pPr>
              <w:pStyle w:val="TableContents"/>
              <w:bidi w:val="0"/>
              <w:spacing w:before="0" w:after="283"/>
              <w:ind w:left="0" w:right="0" w:firstLine="108"/>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9"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_________________________</w:t>
            </w:r>
          </w:p>
          <w:p>
            <w:pPr>
              <w:pStyle w:val="TableContents"/>
              <w:bidi w:val="0"/>
              <w:jc w:val="left"/>
              <w:rPr/>
            </w:pPr>
            <w:r>
              <w:rPr/>
              <w:t> </w:t>
            </w:r>
          </w:p>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rFonts w:ascii="Times New Roman" w:hAnsi="Times New Roman"/>
          <w:color w:val="000000"/>
          <w:sz w:val="24"/>
        </w:rPr>
      </w:pPr>
      <w:r>
        <w:rPr>
          <w:rFonts w:ascii="Times New Roman" w:hAnsi="Times New Roman"/>
          <w:color w:val="000000"/>
          <w:sz w:val="24"/>
        </w:rPr>
        <w:t>NONCOMPETE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NONCOMPETE AGREEMENT (the "</w:t>
      </w:r>
      <w:r>
        <w:rPr>
          <w:rFonts w:ascii="Times New Roman" w:hAnsi="Times New Roman"/>
          <w:color w:val="000000"/>
          <w:sz w:val="24"/>
          <w:u w:val="single"/>
        </w:rPr>
        <w:t>AGREEMENT</w:t>
      </w:r>
      <w:r>
        <w:rPr>
          <w:rFonts w:ascii="Times New Roman" w:hAnsi="Times New Roman"/>
          <w:color w:val="000000"/>
          <w:sz w:val="24"/>
        </w:rPr>
        <w:t>"), made as of the [ ] day of [ ], is entered into between Organogenesis Holdings Inc., a Delaware corporation with offices at 85 Dan Road, Canton, Massachusetts 02021 (the "</w:t>
      </w:r>
      <w:r>
        <w:rPr>
          <w:rFonts w:ascii="Times New Roman" w:hAnsi="Times New Roman"/>
          <w:color w:val="000000"/>
          <w:sz w:val="24"/>
          <w:u w:val="single"/>
        </w:rPr>
        <w:t>Company</w:t>
      </w:r>
      <w:r>
        <w:rPr>
          <w:rFonts w:ascii="Times New Roman" w:hAnsi="Times New Roman"/>
          <w:color w:val="000000"/>
          <w:sz w:val="24"/>
        </w:rPr>
        <w:t>") and [ ] (the "</w:t>
      </w:r>
      <w:r>
        <w:rPr>
          <w:rFonts w:ascii="Times New Roman" w:hAnsi="Times New Roman"/>
          <w:color w:val="000000"/>
          <w:sz w:val="24"/>
          <w:u w:val="single"/>
        </w:rPr>
        <w:t>Employee</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RECITALS: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The Company is willing to grant certain severance and other benefits to the Employee, under the circumstances specified in that certain Key Employee Retention Agreement dated [ ], 2026 between the Company and the Employee (the “</w:t>
      </w:r>
      <w:r>
        <w:rPr>
          <w:rFonts w:ascii="Times New Roman" w:hAnsi="Times New Roman"/>
          <w:color w:val="000000"/>
          <w:sz w:val="24"/>
          <w:u w:val="single"/>
        </w:rPr>
        <w:t>Retention Agreement</w:t>
      </w:r>
      <w:r>
        <w:rPr>
          <w:rFonts w:ascii="Times New Roman" w:hAnsi="Times New Roman"/>
          <w:color w:val="000000"/>
          <w:sz w:val="20"/>
        </w:rPr>
        <w:t>”</w:t>
      </w:r>
      <w:r>
        <w:rPr>
          <w:rFonts w:ascii="Times New Roman" w:hAnsi="Times New Roman"/>
          <w:color w:val="000000"/>
          <w:sz w:val="24"/>
        </w:rPr>
        <w:t>);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As set forth in the Retention Agreement, the Employee's execution of this Agreement is a condition to the Employee’s receipt of such benefits;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NOW, THEREFORE, in consideration of the mutual covenants and promises contained herein, and other good and valuable consideration, the receipt and sufficiency of which are hereby acknowledged, the parties hereto agree as follows:</w:t>
      </w:r>
    </w:p>
    <w:p>
      <w:pPr>
        <w:pStyle w:val="TextBody"/>
        <w:bidi w:val="0"/>
        <w:jc w:val="left"/>
        <w:rPr/>
      </w:pPr>
      <w:r>
        <w:rPr/>
        <w:t> </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1.</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NON-COMPETITION COVENANTS.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NON-COMPETITION COVENANTS. The Employee agrees that the Employee will not, during the Non-Competition Period (as hereinafter defined), directly or indirectly: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owner, employee, officer, director, partner, sales representative, agent, stockholder, capital investor, lessor, consultant or advisor, either alone or in association with others (other than as a holder of not more than one percent of the outstanding shares of any series or class of securities of a company, which securities of such class or series are publicly traded in the securities markets), develop, design, produce, market, sell or render (or assist any other person or entity in developing, designing, producing, marketing, selling or rendering), products or services which are competitive with the Business of the Company (as hereinafter defined) anywhere in the world;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solicit, divert or take away, or attempt to solicit, divert or take away, the business or patronage of any of the customers, prospective customers or referral sources of the Company with whom the Company has had a relationship during the period of the Employee's employment by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recruit, solicit or hire any employee of the Company, or induce or attempt to induce any employee of the Company to terminate his or her employment with, or otherwise cease his or her relationship with, the Company.</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DEFINITIONS. For the purposes of this Section 1, the following terms shall have the respective meanings indicated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"NON-COMPETITION PERIOD" shall mean the [12-month period (if being paid the Non-CIC Severance Amount)][18-month period (if being paid the CIC Severance Amount)] commencing on the last day of the Employee's employment by the Company.</w:t>
      </w:r>
    </w:p>
    <w:p>
      <w:pPr>
        <w:pStyle w:val="TextBody"/>
        <w:bidi w:val="0"/>
        <w:jc w:val="both"/>
        <w:rPr>
          <w:rFonts w:ascii="Times New Roman" w:hAnsi="Times New Roman"/>
          <w:color w:val="000000"/>
          <w:sz w:val="24"/>
        </w:rPr>
      </w:pPr>
      <w:r>
        <w:rPr>
          <w:rFonts w:ascii="Times New Roman" w:hAnsi="Times New Roman"/>
          <w:color w:val="000000"/>
          <w:sz w:val="24"/>
        </w:rPr>
        <w:t>(ii) "BUSINESS OF THE COMPANY" shall mean all activities of the Company, including, without limitation, research, development, sales, engineering, financial and accounting work, IT maintenance and development, technical and clinical feasibility investigations (conducted or contemplated), governmental approvals (obtained or applied for) and the manufacturing, fabrication, packaging, sale, distribution, or licensing of any products or services offered or contemplated to be offered by the Company in the fields of i) advanced wound care for the treatment of chronic and acute wounds, tissue regeneration, skin substitutes, and/or the healing of musculoskeletal injuries, and ii) surgical and sports medicine. For the avoidance of doubt and without limitation, such fields shall include living and non-living tissue and organ replacement and repair constructs, related to the sub-fields of wound repair, bio-surgery, and bio-aesthetics, including, but not limited to: (a) living dermal equivalents, living epidermal equivalents, living skin equivalents, wound coverings and wound management products; (b) living connective tissue constructs and biomaterial constructs for the repair and/or replacement tendon, ligament, body-wall, cardiac tissue, vasculature, bone, cartilage, neural tissue; (c) injectable matrix compositions, injectable cell compositions, topical compositions containing cytokines, growth factors, and other cell-communication compounds; (d) natural and synthesized collagen compositions, and natural and synthesized extracellular matrix compositions; (e) cell culture media for culturing cells and living constructs; (f) stem cells; and (g) cell- delivery constructs.</w:t>
      </w:r>
    </w:p>
    <w:p>
      <w:pPr>
        <w:pStyle w:val="TextBody"/>
        <w:bidi w:val="0"/>
        <w:jc w:val="left"/>
        <w:rPr/>
      </w:pPr>
      <w:r>
        <w:rPr/>
        <w:t> </w:t>
      </w:r>
    </w:p>
    <w:p>
      <w:pPr>
        <w:pStyle w:val="TextBody"/>
        <w:bidi w:val="0"/>
        <w:spacing w:before="7" w:after="283"/>
        <w:jc w:val="left"/>
        <w:rPr/>
      </w:pPr>
      <w:r>
        <w:rPr/>
        <w:t> </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2.</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INJUNCTIVE AND OTHER EQUITABLE RELIEF.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Employee consents and agrees that if the Employee violates any of the provisions of Section 1 hereof, the Company shall be entitled, in addition to any other remedies it may have at law, to the remedies of injunction, specific performance and other equitable relief for a breach by the Employee of Section 1 of this Agreement. This Section 2(a) shall not, however, be construed as a waiver of any of the rights which the Company may have for damages or otherwise.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waiver by the Company of a breach of any provision of Section 1 hereof shall not operate or be construed as a waiver of any subsequent breach of such provision or any other provision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Employee agrees that each provision of Section 1 shall be treated as a separate and independent clause, and the unenforceability of any one clause shall in no way impair the enforceability of the other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clauses herein. Moreover, if one or more of the provisions contained in Section 1 shall for any reason be held to be excessively broad as to scope, activity or subject so as to be unenforceable at law, such provision or provisions shall be construed by the appropriate judicial body by limiting and reducing it or them so as to be enforceable to the maximum extent compatible with the applicable law as it shall then appear.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If the Company shall prevail in any action, suit or other proceeding (whether at law, in equity or otherwise) instituted concerning or arising out of this Agreement, it shall recover, in addition to any other remedy granted to it therein, all its costs and reasonable attorneys’ fees incurred in connection with the prosecution or defense of such action, suit or other proceeding.</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3.</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 xml:space="preserve">OTHER AGREEMENTS.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Employee represents and warrants that the Employee’s performance of all the terms of this Agreement does not and will not breach any other agreement by which he is bound.</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4.</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ENTIRE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Agreement constitutes the entire agreement between the parties and supersedes all prior agreements and understandings, whether written or oral, relating to the subject matter of this Agreement. In particular, this Agreement supersedes Section [2.2] of the Employee Agreement, but the rest of the Employee Agreement remains in full force and effect.</w:t>
      </w:r>
      <w:r>
        <w:rPr>
          <w:rFonts w:ascii="Times New Roman" w:hAnsi="Times New Roman"/>
          <w:color w:val="000000"/>
          <w:sz w:val="20"/>
        </w:rPr>
        <w:t xml:space="preserve"> </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5.</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AMENDMENT.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may be amended or modified only by a written instrument executed by both the Company and the Employee.</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6.</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GOVERNING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shall be construed, interpreted and enforced in accordance with the laws of The Commonwealth of Massachusetts, without regard to its choice of law principles. The Employee hereby consents to (a) service of process, and to be sued, in The Commonwealth of Massachusetts and (b) to the jurisdiction of the courts of The Commonwealth of Massachusetts and the United States District Court for the District of Massachusetts, as well as to the jurisdiction of all courts to which an appeal may be taken from such courts, for the purpose of any suit, action or other proceeding arising out of any of Employee's obligations hereunder, and Employee expressly waives any and all objections he or she may have as to venue in any such courts.</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7.</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SUCCESSORS AND ASSIGNS.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Employee are personal and shall not be assigned by him.</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8.</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MISCELLANEOUS.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captions of the sections of this Agreement are for convenience of reference only and in no way define, limit or affect the scope or substance of any section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shall be interpreted in such a manner as to be effective and valid under applicable law, but if any 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pStyle w:val="TextBody"/>
        <w:bidi w:val="0"/>
        <w:jc w:val="left"/>
        <w:rPr>
          <w:rFonts w:ascii="Times New Roman" w:hAnsi="Times New Roman"/>
          <w:color w:val="000000"/>
          <w:sz w:val="24"/>
        </w:rPr>
      </w:pPr>
      <w:r>
        <w:rPr>
          <w:rFonts w:ascii="Times New Roman" w:hAnsi="Times New Roman"/>
          <w:color w:val="000000"/>
          <w:sz w:val="24"/>
        </w:rPr>
        <w:t>IN WITNESS WHEREOF, the parties hereto have executed this Agreement as</w:t>
      </w:r>
    </w:p>
    <w:p>
      <w:pPr>
        <w:pStyle w:val="TextBody"/>
        <w:bidi w:val="0"/>
        <w:jc w:val="left"/>
        <w:rPr>
          <w:rFonts w:ascii="Times New Roman" w:hAnsi="Times New Roman"/>
          <w:color w:val="000000"/>
          <w:sz w:val="24"/>
        </w:rPr>
      </w:pPr>
      <w:r>
        <w:rPr>
          <w:rFonts w:ascii="Times New Roman" w:hAnsi="Times New Roman"/>
          <w:color w:val="000000"/>
          <w:sz w:val="24"/>
        </w:rPr>
        <w:t>of the day and year set forth above.</w:t>
      </w:r>
    </w:p>
    <w:p>
      <w:pPr>
        <w:pStyle w:val="TextBody"/>
        <w:bidi w:val="0"/>
        <w:jc w:val="left"/>
        <w:rPr>
          <w:rFonts w:ascii="Times New Roman" w:hAnsi="Times New Roman"/>
          <w:color w:val="000000"/>
          <w:sz w:val="24"/>
        </w:rPr>
      </w:pPr>
      <w:r>
        <w:rPr>
          <w:rFonts w:ascii="Times New Roman" w:hAnsi="Times New Roman"/>
          <w:color w:val="000000"/>
          <w:sz w:val="24"/>
        </w:rPr>
        <w:t>ORGANOGENESIS HOLDINGS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br/>
      </w: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EMPLOYEE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br/>
      </w:r>
      <w:r>
        <w:rPr>
          <w:rFonts w:ascii="Times New Roman" w:hAnsi="Times New Roman"/>
          <w:color w:val="000000"/>
          <w:sz w:val="24"/>
        </w:rPr>
        <w:t>Name:</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right"/>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GENERAL RELEASE AND WAIVER OF ALL CLAIMS</w:t>
        <w:br/>
        <w:t>(INCLUDING OLDER WORKER BENEFITS PROTECTION ACT CLAIMS)</w:t>
      </w:r>
    </w:p>
    <w:p>
      <w:pPr>
        <w:pStyle w:val="TextBody"/>
        <w:bidi w:val="0"/>
        <w:spacing w:before="240" w:after="283"/>
        <w:jc w:val="left"/>
        <w:rPr>
          <w:rFonts w:ascii="Times New Roman" w:hAnsi="Times New Roman"/>
          <w:sz w:val="20"/>
        </w:rPr>
      </w:pPr>
      <w:r>
        <w:rPr>
          <w:rFonts w:ascii="Times New Roman" w:hAnsi="Times New Roman"/>
          <w:color w:val="000000"/>
          <w:sz w:val="24"/>
        </w:rPr>
        <w:t>For good and valuable consideration, including without limitation the compensation and benefits set forth in the Key Employee Retention Agreement dated [ ], 20__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between the undersigned and Organogenesis Holdings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to which this General Release and Waiver of All Claims is attached, the terms of which Agreement shall survive this General Release and Waiver of Claims, the undersigned, on behalf of and for himself or herself and his or her heirs, administrators, executors, representatives, estates, attorneys, insurers, successors and assigns (hereafter referred to separately and collectively as the “</w:t>
      </w:r>
      <w:r>
        <w:rPr>
          <w:rFonts w:ascii="Times New Roman" w:hAnsi="Times New Roman"/>
          <w:color w:val="000000"/>
          <w:sz w:val="24"/>
          <w:u w:val="single"/>
        </w:rPr>
        <w:t>Releasor</w:t>
      </w:r>
      <w:r>
        <w:rPr>
          <w:rFonts w:ascii="Times New Roman" w:hAnsi="Times New Roman"/>
          <w:color w:val="000000"/>
          <w:sz w:val="20"/>
        </w:rPr>
        <w:t>”</w:t>
      </w:r>
      <w:r>
        <w:rPr>
          <w:rFonts w:ascii="Times New Roman" w:hAnsi="Times New Roman"/>
          <w:color w:val="000000"/>
          <w:sz w:val="24"/>
        </w:rPr>
        <w:t>), hereby voluntarily releases and forever discharges the Company, and its subsidiaries (direct and indirect), affiliates, related companies, divisions, predecessor and successor companies, and each of its and their present, former, and future stockholders, officers, directors, employees, agents, representatives, attorneys, insurers and assigns (collectively as “</w:t>
      </w:r>
      <w:r>
        <w:rPr>
          <w:rFonts w:ascii="Times New Roman" w:hAnsi="Times New Roman"/>
          <w:color w:val="000000"/>
          <w:sz w:val="24"/>
          <w:u w:val="single"/>
        </w:rPr>
        <w:t>Releasees</w:t>
      </w:r>
      <w:r>
        <w:rPr>
          <w:rFonts w:ascii="Times New Roman" w:hAnsi="Times New Roman"/>
          <w:color w:val="000000"/>
          <w:sz w:val="20"/>
        </w:rPr>
        <w:t>”</w:t>
      </w:r>
      <w:r>
        <w:rPr>
          <w:rFonts w:ascii="Times New Roman" w:hAnsi="Times New Roman"/>
          <w:color w:val="000000"/>
          <w:sz w:val="24"/>
        </w:rPr>
        <w:t>), jointly and individually, from any and all actions, causes of action, claims, suits, charges, complaints, contracts, covenants, agreements, promises, debts, accounts, damages, losses, sums of money, obligations, demands, and judgments all of any kind whatsoever, known or unknown, at law or in equity, in tort, contract, by statute, or on any other basis, for contractual, compensatory, punitive or other damages, expenses (including attorney’s fees and cost), reimbursements, or costs of any kind, which the undersigned employee ever had, now has, or may have, from the beginning of the world to the date of this Release, known or unknown, in law or equity, whether statutory or common law, whether federal, state, local or otherwise, including but not limited to any and all claims arising out of or in any way related to the undersigned’s engagement by the Company (including the hiring or termination of that engagement), or any related matters including, but not limited to claims, if any arising under the Age Discrimination in Employment Act of 1967, as amended by the Older Worker Benefits Protection Act; the Civil Rights Act of 1964, as amended; the Civil Rights Act of 1991, as amended; the Family and Medical Leave Act of 1993, as amended; the Immigration Reform and Control Act of 1986; the Americans with Disabilities Act of 1990, as amended; the Employee Retirement Income Security Act (ERISA), as amended; the Massachusetts laws against discrimination and harassment (including Mass. Gen. L. c. 151B), protecting equal rights or concerning the payment of wages (including Mass. Gen. L. c. 149, section 148 et seq. and Mass. Gen. L. c. 151, section 1A, et seq.), and federal, state or local common law, laws, statutes, ordinances or regulations. Notwithstanding the foregoing, nothing contained in this General Release and Waiver of Claims shall be construed to bar any claim by the undersigned to enforce the terms of the Agreement.</w:t>
      </w:r>
    </w:p>
    <w:p>
      <w:pPr>
        <w:pStyle w:val="TextBody"/>
        <w:bidi w:val="0"/>
        <w:spacing w:before="240" w:after="283"/>
        <w:jc w:val="left"/>
        <w:rPr>
          <w:rFonts w:ascii="Times New Roman" w:hAnsi="Times New Roman"/>
          <w:sz w:val="20"/>
        </w:rPr>
      </w:pPr>
      <w:r>
        <w:rPr>
          <w:rFonts w:ascii="Times New Roman" w:hAnsi="Times New Roman"/>
          <w:color w:val="000000"/>
          <w:sz w:val="24"/>
        </w:rPr>
        <w:t>[</w:t>
      </w:r>
      <w:r>
        <w:rPr>
          <w:rFonts w:ascii="Times New Roman" w:hAnsi="Times New Roman"/>
          <w:b/>
          <w:color w:val="000000"/>
          <w:sz w:val="24"/>
        </w:rPr>
        <w:t>For employees aged 40 and older:</w:t>
      </w:r>
    </w:p>
    <w:p>
      <w:pPr>
        <w:pStyle w:val="TextBody"/>
        <w:bidi w:val="0"/>
        <w:jc w:val="left"/>
        <w:rPr>
          <w:rFonts w:ascii="Times New Roman" w:hAnsi="Times New Roman"/>
          <w:color w:val="000000"/>
          <w:sz w:val="24"/>
        </w:rPr>
      </w:pPr>
      <w:r>
        <w:rPr>
          <w:rFonts w:ascii="Times New Roman" w:hAnsi="Times New Roman"/>
          <w:color w:val="000000"/>
          <w:sz w:val="24"/>
        </w:rPr>
        <w:t>Releasor represents and acknowledges the following:</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that Releasor understands the various claims Releasor could have asserted under federal or state law, including but not limited to the Age Discrimination in Employment Act, Mass. Gen. L. c. 151B, the Massachusetts Wage Act and Massachusetts overtime pay law and other similar laws;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has read this General Release carefully and understands all of its provisions;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understands that Releasor has the right to and is advised to consult an attorney concerning this General Release and in particular the waiver of rights Releasor might have under the laws described herein and that to the extent, if any, that Releasor desired, Releasor availed himself or herself of this right;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has been provided at least twenty-one (21) days to consider whether to sign this General Release and that to the extent Releasor has signed this General Release before the expiration of such twenty-one (21) day period Releasor has done so knowingly and willingly;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enters into this General Release and waives any claims knowingly and willingly; and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w:t>
      </w:r>
    </w:p>
    <w:p>
      <w:pPr>
        <w:pStyle w:val="TextBody"/>
        <w:bidi w:val="0"/>
        <w:jc w:val="left"/>
        <w:rPr>
          <w:rFonts w:ascii="Times New Roman" w:hAnsi="Times New Roman"/>
          <w:color w:val="000000"/>
          <w:sz w:val="24"/>
        </w:rPr>
      </w:pPr>
      <w:r>
        <w:rPr>
          <w:rFonts w:ascii="Times New Roman" w:hAnsi="Times New Roman"/>
          <w:color w:val="000000"/>
          <w:sz w:val="24"/>
        </w:rPr>
        <w:t>that this General Release shall become effective seven (7) business days after it is signed. Releasor may revoke this General Release within seven (7) business days after it is signed by delivering a written notice of rescission to Chair of Compensation Committee, Organogenesis Holdings Inc., 85 Dan Road, Canton, Massachusetts 02021. To be effective, the notice of rescission must be hand delivered, or postmarked within the seven (7) business day period and sent by certified mail, return receipt requested, to the referenced address.]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Signed and sealed this ____ day of _____________, 20__.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Signed: __________________________</w:t>
      </w:r>
    </w:p>
    <w:p>
      <w:pPr>
        <w:pStyle w:val="TextBody"/>
        <w:bidi w:val="0"/>
        <w:spacing w:before="240" w:after="283"/>
        <w:jc w:val="left"/>
        <w:rPr>
          <w:rFonts w:ascii="Times New Roman" w:hAnsi="Times New Roman"/>
          <w:sz w:val="20"/>
        </w:rPr>
      </w:pPr>
      <w:r>
        <w:rPr>
          <w:rFonts w:ascii="Times New Roman" w:hAnsi="Times New Roman"/>
          <w:color w:val="000000"/>
          <w:sz w:val="24"/>
        </w:rPr>
        <w:t>Name (print): ___________________________</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8" w:name="orgo-ex31_1.htm"/>
      <w:bookmarkStart w:id="29" w:name="ksorgoex31_1"/>
      <w:bookmarkEnd w:id="28"/>
      <w:bookmarkEnd w:id="29"/>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 PURSUANT TO EXCHANGE ACT RULE 13a-14(a)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Gary S. Gillheeney, Sr.,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Organogenesis Holdings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627" w:type="dxa"/>
        <w:jc w:val="left"/>
        <w:tblInd w:w="0" w:type="dxa"/>
        <w:tblLayout w:type="fixed"/>
        <w:tblCellMar>
          <w:top w:w="28" w:type="dxa"/>
          <w:left w:w="28" w:type="dxa"/>
          <w:bottom w:w="28" w:type="dxa"/>
          <w:right w:w="28" w:type="dxa"/>
        </w:tblCellMar>
      </w:tblPr>
      <w:tblGrid>
        <w:gridCol w:w="1636"/>
        <w:gridCol w:w="109"/>
        <w:gridCol w:w="40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S. Gillheeney, Sr.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S. Gillheeney, Sr.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orgo-ex31_2.htm"/>
      <w:bookmarkStart w:id="31" w:name="ksorgoex31_2"/>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 PURSUANT TO EXCHANGE ACT RULE 13a-14(a)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 Francisco,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Organogenesis Holdings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567" w:type="dxa"/>
        <w:jc w:val="left"/>
        <w:tblInd w:w="0" w:type="dxa"/>
        <w:tblLayout w:type="fixed"/>
        <w:tblCellMar>
          <w:top w:w="28" w:type="dxa"/>
          <w:left w:w="28" w:type="dxa"/>
          <w:bottom w:w="28" w:type="dxa"/>
          <w:right w:w="28" w:type="dxa"/>
        </w:tblCellMar>
      </w:tblPr>
      <w:tblGrid>
        <w:gridCol w:w="1636"/>
        <w:gridCol w:w="109"/>
        <w:gridCol w:w="40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Francisco</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Francisco</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2" w:name="orgo-ex32_1.htm"/>
      <w:bookmarkStart w:id="33" w:name="ksorgoex32_1"/>
      <w:bookmarkEnd w:id="32"/>
      <w:bookmarkEnd w:id="33"/>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EXECUTIVE OFFICER AND PRINCIPAL FINANCIAL OFFICER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18 U.S.C. SECTION 1350 AS ADOPTED PURSUANT TO SECTION 906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the undersigned officers of Organogenesis Holdings Inc. (the “Company”) certifies, to his knowledge and solely for the purposes of 18 U.S.C. Section 1350, as adopted pursuant to Section 906 of the Sarbanes-Oxley Act of 2002, that the Quarterly Report on Form 10-Q of the Company for the quarter ended March 31, 2026, fully complies with the requirements of Section 13(a) or 15(d) of the Securities Exchange Act of 1934 and that information contained in the Form 10-Q fairly presents, in all material respects, the financial condition and results of operations of the Company. </w:t>
      </w:r>
    </w:p>
    <w:tbl>
      <w:tblPr>
        <w:tblW w:w="4664" w:type="dxa"/>
        <w:jc w:val="left"/>
        <w:tblInd w:w="0" w:type="dxa"/>
        <w:tblLayout w:type="fixed"/>
        <w:tblCellMar>
          <w:top w:w="28" w:type="dxa"/>
          <w:left w:w="28" w:type="dxa"/>
          <w:bottom w:w="28" w:type="dxa"/>
          <w:right w:w="28" w:type="dxa"/>
        </w:tblCellMar>
      </w:tblPr>
      <w:tblGrid>
        <w:gridCol w:w="1636"/>
        <w:gridCol w:w="146"/>
        <w:gridCol w:w="40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S. Gillheeney, Sr.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Gary S. Gillheeney, Sr.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Francisco</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David Francisco</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1181/000119312519245823/d772464dex31.htm" TargetMode="External"/><Relationship Id="rId3" Type="http://schemas.openxmlformats.org/officeDocument/2006/relationships/hyperlink" Target="https://www.sec.gov/Archives/edgar/data/0001661181/000119312522182860/d299566dex31.htm" TargetMode="External"/><Relationship Id="rId4" Type="http://schemas.openxmlformats.org/officeDocument/2006/relationships/hyperlink" Target="https://www.sec.gov/Archives/edgar/data/1661181/000095017024125431/orgo-ex3_3.htm" TargetMode="External"/><Relationship Id="rId5" Type="http://schemas.openxmlformats.org/officeDocument/2006/relationships/hyperlink" Target="https://www.sec.gov/Archives/edgar/data/1661181/000119312519245823/d772464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27607</Words>
  <Characters>150734</Characters>
  <CharactersWithSpaces>178800</CharactersWithSpaces>
  <Paragraphs>4070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