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Cavorsi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ORGANOGENESIS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DAN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Organogenesis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ORGO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Vice President, Strategy</w:t>
      </w:r>
    </w:p>
    <w:p>
      <w:pPr>
        <w:spacing w:after="0" w:line="422" w:lineRule="exact"/>
        <w:rPr>
          <w:sz w:val="24"/>
          <w:szCs w:val="24"/>
          <w:color w:val="auto"/>
        </w:rPr>
      </w:pPr>
    </w:p>
    <w:p>
      <w:pPr>
        <w:sectPr>
          <w:pgSz w:w="11900" w:h="16838" w:orient="portrait"/>
          <w:cols w:equalWidth="0" w:num="3">
            <w:col w:w="3220" w:space="70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jc w:val="center"/>
              <w:ind w:right="77"/>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7"/>
                <w:szCs w:val="17"/>
                <w:color w:val="0000FF"/>
              </w:rPr>
              <w:t>02/20/2026</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CANTON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02021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16,454</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281,711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5,487</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276,224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jc w:val="center"/>
              <w:ind w:right="200"/>
              <w:spacing w:after="0"/>
              <w:rPr>
                <w:sz w:val="20"/>
                <w:szCs w:val="20"/>
                <w:color w:val="auto"/>
              </w:rPr>
            </w:pPr>
            <w:r>
              <w:rPr>
                <w:rFonts w:ascii="Arial" w:cs="Arial" w:eastAsia="Arial" w:hAnsi="Arial"/>
                <w:sz w:val="12"/>
                <w:szCs w:val="12"/>
                <w:b w:val="1"/>
                <w:bCs w:val="1"/>
                <w:color w:val="auto"/>
                <w:w w:val="99"/>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as an amendment to the Form 4 originally filed on February 20, 2026, to correct the number of shares reported as acquired upon the vesting and settlement of a performance share award and the number of shares reported as withheld in satisfaction of tax obligations in connection with such award. No other changes have been made to the original filing.</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William R. Kolb, Attorney- </w:t>
      </w:r>
      <w:r>
        <w:rPr>
          <w:rFonts w:ascii="Times New Roman" w:cs="Times New Roman" w:eastAsia="Times New Roman" w:hAnsi="Times New Roman"/>
          <w:sz w:val="33"/>
          <w:szCs w:val="33"/>
          <w:color w:val="0000FF"/>
          <w:vertAlign w:val="subscript"/>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6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0983" TargetMode="External"/><Relationship Id="rId14" Type="http://schemas.openxmlformats.org/officeDocument/2006/relationships/hyperlink" Target="http://www.sec.gov/cgi-bin/browse-edgar?action=getcompany&amp;CIK=00016611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2026-03-03T15:55:24Z</dcterms:created>
  <dcterms:modified xsi:type="dcterms:W3CDTF">2026-03-03T15:55:24Z</dcterms:modified>
</cp:coreProperties>
</file>