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5455d424b5.htm"/>
        <w:bookmarkStart w:id="1" w:name="ksd125455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333-281392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15,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95345" cy="354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95345" cy="3549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Up to $75,000,000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an At-The-Market Sales Agreement (the “sales agreement”) with BTIG, LLC and Citizens JMP Securities, LLC (collectively, the “sales agents” and each individually, a “sales agent”), dated August 6, 2026, relating to the sale of shares of our Class A common stock offered by this prospectus supplement and the accompanying prospectus. In accordance with the terms of the sales agreement, under this prospectus supplement, we may offer and sell shares of our Class A common stock, $0.0001 par value per share, having an aggregate offering price of up to $75,000,000 from time to time through the sales agents, acting as our sales agents.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Capital Market under the symbol “ORGO.” On August 5, 2026, the last reported sale price of our Class A common stock on the Nasdaq Capital Market was $2.37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shares of our Class A common stock, if any, under this prospectus supplement and the accompanying prospectus will be made by any method permitted that is deemed to be an “at the market offering” as defined in Rule 415(a)(4) promulgated under the Securities Act of 1933, as amended, or the Securities Act. The sales agents are not required to sell any specific number or dollar amount of our Class A common stock, but each will act as our sales agent using commercially reasonable efforts consistent with its normal trading and sales practices, on mutually agreed terms in accordance with the sales agreement.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each sales agent under the terms of the sales agreement a commission up to 3.0% of the aggregate gross proceeds of any shares of Class A common stock sold under the sales agreement. In connection with the sale of the Class A common stock on our behalf, each of the sales agents will be deemed to be an “underwriter” within the meaning of the Securities Act and the compensation of each sales agent will be deemed to be underwriting commissions or discounts. We have also agreed to provide indemnification and contribution to the sales agents with respect to certain liabilities, including liabilities under the Securities Act or the Securities Exchange Act of 1934, as amended (the “Exchange Act”). See “Plan of Distribution” beginning on page S-11 of this prospectus supplement for additional information regarding the compensation to be paid to the sales agents. </w:t>
      </w:r>
    </w:p>
    <w:p>
      <w:pPr>
        <w:pStyle w:val="TextBody"/>
        <w:bidi w:val="0"/>
        <w:spacing w:before="240" w:after="0"/>
        <w:jc w:val="left"/>
        <w:rPr/>
      </w:pPr>
      <w:r>
        <w:rPr>
          <w:rFonts w:ascii="Times New Roman" w:hAnsi="Times New Roman"/>
          <w:b/>
          <w:sz w:val="24"/>
        </w:rPr>
        <w:t>Investing in our Class A common stock involves risks. See “</w:t>
      </w:r>
      <w:hyperlink w:anchor="supprom125455_4">
        <w:r>
          <w:rPr>
            <w:rStyle w:val="InternetLink"/>
            <w:rFonts w:ascii="Times New Roman" w:hAnsi="Times New Roman"/>
            <w:b/>
            <w:sz w:val="24"/>
          </w:rPr>
          <w:t>Risk Factors</w:t>
        </w:r>
      </w:hyperlink>
      <w:r>
        <w:rPr>
          <w:rFonts w:ascii="Times New Roman" w:hAnsi="Times New Roman"/>
          <w:b/>
          <w:sz w:val="24"/>
        </w:rPr>
        <w:t xml:space="preserve">” beginning on page S-5 of this prospectus supplement, page 1 of the accompanying prospectus and in the reports we file with the Securities and Exchange Commission pursuant to the Securities Exchange Act of 1934, as amended, incorporated by reference in this prospectus supplement, before making a decision to invest in our Class A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Securities and Exchange Commission and state securities regulators have not approved or disapproved of these securities, or determined if this prospectus supplement is truthful or complete. Any representation to the contrary is a criminal offense.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2"/>
        <w:gridCol w:w="6431"/>
      </w:tblGrid>
      <w:tr>
        <w:trPr/>
        <w:tc>
          <w:tcPr>
            <w:tcW w:w="357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572" w:type="dxa"/>
            <w:tcBorders/>
            <w:vAlign w:val="center"/>
          </w:tcPr>
          <w:p>
            <w:pPr>
              <w:pStyle w:val="TableContents"/>
              <w:bidi w:val="0"/>
              <w:spacing w:before="0" w:after="283"/>
              <w:jc w:val="left"/>
              <w:rPr>
                <w:sz w:val="4"/>
                <w:szCs w:val="4"/>
              </w:rPr>
            </w:pPr>
            <w:r>
              <w:rPr>
                <w:sz w:val="4"/>
                <w:szCs w:val="4"/>
              </w:rPr>
            </w:r>
          </w:p>
        </w:tc>
        <w:tc>
          <w:tcPr>
            <w:tcW w:w="663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center"/>
              <w:rPr>
                <w:b/>
              </w:rPr>
            </w:pPr>
            <w:r>
              <w:rPr>
                <w:b/>
              </w:rPr>
              <w:t>BTIG</w:t>
            </w:r>
          </w:p>
        </w:tc>
        <w:tc>
          <w:tcPr>
            <w:tcW w:w="202" w:type="dxa"/>
            <w:tcBorders/>
            <w:vAlign w:val="bottom"/>
          </w:tcPr>
          <w:p>
            <w:pPr>
              <w:pStyle w:val="TableContents"/>
              <w:bidi w:val="0"/>
              <w:spacing w:before="0" w:after="283"/>
              <w:jc w:val="left"/>
              <w:rPr/>
            </w:pPr>
            <w:r>
              <w:rPr/>
              <w:t> </w:t>
            </w:r>
          </w:p>
        </w:tc>
        <w:tc>
          <w:tcPr>
            <w:tcW w:w="6431" w:type="dxa"/>
            <w:tcBorders/>
          </w:tcPr>
          <w:p>
            <w:pPr>
              <w:pStyle w:val="TableContents"/>
              <w:bidi w:val="0"/>
              <w:spacing w:before="0" w:after="283"/>
              <w:jc w:val="right"/>
              <w:rPr>
                <w:b/>
              </w:rPr>
            </w:pPr>
            <w:r>
              <w:rPr>
                <w:b/>
              </w:rPr>
              <w:t>Citizens Capital Markets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August 6,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5">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9">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10">
              <w:r>
                <w:rPr>
                  <w:rStyle w:val="InternetLink"/>
                  <w:rFonts w:ascii="Times New Roman" w:hAnsi="Times New Roman"/>
                  <w:sz w:val="20"/>
                </w:rPr>
                <w:t>INFORMATION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25455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6">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2">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3">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4">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x125455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2545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base prospectus are part of a “shelf” registration statement on Form S-3 that we filed with the U.S. Securities and Exchange Commission, or the SEC, using a “shelf” registration process.</w:t>
      </w:r>
    </w:p>
    <w:p>
      <w:pPr>
        <w:pStyle w:val="TextBody"/>
        <w:bidi w:val="0"/>
        <w:spacing w:before="240" w:after="0"/>
        <w:jc w:val="left"/>
        <w:rPr>
          <w:rFonts w:ascii="Times New Roman" w:hAnsi="Times New Roman"/>
          <w:sz w:val="20"/>
        </w:rPr>
      </w:pPr>
      <w:r>
        <w:rPr>
          <w:rFonts w:ascii="Times New Roman" w:hAnsi="Times New Roman"/>
          <w:sz w:val="20"/>
        </w:rPr>
        <w:t xml:space="preserve">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some of which may not apply to this offering. Generally, when we refer to this prospectus, we are referring to both the prospectus supplement and the accompanying prospectus. In this prospectus supplement, as permitted by law, we “incorporate by reference” information from other documents that we file with the SEC. This means that we can disclose important information to you from those documents which we may file with the SEC from time to time. The information incorporated by reference is considered to be a part of this prospectus supplement and the accompanying prospectus and should be read with the same care. </w:t>
      </w:r>
    </w:p>
    <w:p>
      <w:pPr>
        <w:pStyle w:val="TextBody"/>
        <w:bidi w:val="0"/>
        <w:spacing w:before="240" w:after="0"/>
        <w:jc w:val="left"/>
        <w:rPr>
          <w:rFonts w:ascii="Times New Roman" w:hAnsi="Times New Roman"/>
          <w:sz w:val="20"/>
        </w:rPr>
      </w:pPr>
      <w:r>
        <w:rPr>
          <w:rFonts w:ascii="Times New Roman" w:hAnsi="Times New Roman"/>
          <w:sz w:val="20"/>
        </w:rPr>
        <w:t xml:space="preserve">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Class A common stock offered by this prospectus supplement. If the description of the offering varies between this prospectus supplement and the accompanying prospectus, you should rely on the information contained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supplement and the accompanying prospectus. Neither we nor the sales agents have authorized anyone to provide you with different information. If anyone provides you with different or inconsistent information, you should not rely on it. We are not, and each sales agent is not, making an offer of these securities in any state where the offer is not permitted or in which the person making such offer or solicitation is not qualified to do so or to any person to whom it is unlawful to make such offer or solicitation. You should not assume that the information in this prospectus supplement, the accompanying prospectus or any document incorporated by reference is accurate as of any date other than the dates of the respective documents.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all references to “we,” “us,” “our,” “our company,” “the Company” or “Organogenesis” in this prospectus supplement refer collectively to Organogenesis Holdings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125455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and the accompanying prospectus. This summary does not contain all of the information you should consider before investing in our Class A common stock. You should read this entire prospectus supplement and the accompanying prospectus carefully, especially the section in this prospectus supplement titled “Risk Factors,” under the headings “Part I, Item 1A. Risk Factors” in our Annual Report on Form 10-K for the year ended December 31, 2025, “Part II, Item 1A. Risk Factors” in our subsequent Quarterly Reports on Form 10-Q, and in our other filings with the SEC and our financial statements and the related notes incorporated by reference into this prospectus supplement and the accompanying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Organogenesis is a leading regenerative medicine and tissue innovations company focused on empowering healing through the development, manufacturing, and sale of product solutions for the advanced wound care and surgical and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We offer our differentiated products and in-house customer support to a wide range of health care customers including hospitals, wound care centers, government facilities, ASCs and physician offices. Our mission is to advance healing and recovery beyond expectations.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our existing and pipeline products in our portfolio have PMA, or 510(k) clearance from the FDA. Given the extensive time and cost required to conduct clinical trials and receive FDA approvals, we believe that our data and regulatory approvals provide us with a strong competitive advantage. Our product development expertise and multiple technology platforms provide a robust product pipeline, which we believe will drive future growth.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Advanced Wound Care market, we focus on the development and commercialization of advanced wound care products for the treatment of chronic and acute wounds in various treatment settings. We have a comprehensive portfolio of regenerative medicine products capable of supporting patients from early in the wound healing process through wound closure regardless of wound type. Our Advanced Wound Care products include Apligraf for the treatment of VLUs and DFUs; Dermagraft for the treatment of DFUs (manufacturing and distribution currently suspended pending transition to our new manufacturing facility in Smithfield, RI); PuraPly AM and PuraPly XT as antimicrobial barriers and native, cross-linked extracellular matrix (ECM) scaffold for a broad variety of wound types; CYGNUS Matrix as a dehydrated placental allograft that promotes an optimal environment for wound healing; Affinity and NuShield as placental allografts to address a variety of wound sizes and types as a protective barrier and ECM scaffold, and AmchoThick as a dehydrated amnion-chorion-amnion placental allograft that provides a protective barrier and supports an optimal environment for healing. We have a highly trained and specialized direct wound care sales force paired with comprehensive customer support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Surgical &amp; Sports Medicine market, we are leveraging our broad regenerative medicine capabilities to address chronic and acute surgical wounds and tendon and ligament injuries. Our Sports Medicine products include NuShield and Cygnus Matrix for surgical applications in targeted soft tissue repairs; and Affinity,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PuraPly MZ, PuraPly AM, and PuraPly SX for management of open wounds in the surgical setting. We currently sell these products through independent agencies and our direct sales force.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April 2026, we announced the completion of our rolling Biologics License Application (BLA) submission to the FDA for ReNu. ReNu is a cryopreserved, amniotic suspension allograft developed for the treatment of pain in symptomatic knee osteoarthritis (OA). The FDA accepted our BLA filing for ReNu in July 2026 and has set a Prescription Drug User Fee Act (PDUFA) target action date of April 24, 2027. If approved, ReNu would be the first non-surgical biologic therapy to address knee OA pain for all patients, especially for those classified as most severe. Knee OA is a degenerative joint disease that is estimated to affect nearly 31 million Americans and projected to grow to 34.4 million Americans by 2027. It is ranked among the most common causes of disability and poor quality of life, generally characterized by pain and functionality deficits. End stage management of the disease in these patients is typically a total knee replacement when all other treatment options are exhausted.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formerly a special purpose acquisition company, incorporated under the laws of the Cayman Islands on December 4, 2015 under the name Avista Healthcare Public Acquisition Corp. (AHPAC), for the purpose of effecting a merger, share exchange, asset acquisition, share purchase, reorganization or similar business combination with one or more businesses. On December 10, 2018, pursuant to the terms of that certain Agreement and Plan of Merger, dated as of August 17, 2018, by and among AHPAC, Avista Healthcare Merger Sub, Inc. (Merger Sub) and Organogenesis Inc., (i) AHPAC transferred by way of continuation out of the Cayman Islands into the State of Delaware as a corporation incorporated under the laws of the State of Delaware under Section 388 of the Delaware General Corporation Law; and (ii) Merger Sub merged with and into Organogenesis Inc., with Organogenesis Inc. surviving as a direct wholly owned subsidiary of AHPAC, which changed its name to Organogenesis Holdings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85 Dan Road, Canton, MA 02021, and our telephone number is (781) 575-0775. Our corporate website address is www.organogenesis.com. The information contained in, and that can be accessed through, our website is not incorporated into and does not form a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125455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Class A common stock offered by us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Shares of our Class A common stock having an aggregate offering price of up to $75 million.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Class A common stock to be outstanding immediately after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Up to 160,320,117 shares (as more fully described in the notes following this table), assuming sales of 31,645,569 shares of our Class A common stock in this offering at an offering price of $2.37 per share, which was the last reported sale price of our Class A common shares on the Nasdaq Capital Market on August 5, 2026. The actual number of shares issued will vary depending on the sales price under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At the market offering” that may be made from time to time through our sales agents, BTIG, LLC and Citizens JMP Securities, LLC. See “Plan of Distribution” on page S-11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cash equivalents and short-term and long-term investments for working capital and general corporate purposes, including, but not limited to, facility expansion and manufacturing enhancements, salesforce expansion and to conduct clinical studies of, obtain regulatory approvals and additional commercial insurance coverage for, our products. See “Use of Proceeds” on page S-8 of this prospectus supplement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Investing in our Class A common stock involves significant risks. Before making an investment decision, please read the information contained in and incorporated by reference under the heading “Risk Factors” beginning on page S-4 of this prospectus supplement, and under similar headings in other documents that are incorporated by reference into this prospectus supplement and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The Nasdaq Capital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w:t>
            </w:r>
            <w:r>
              <w:rPr/>
              <w:t xml:space="preserve">ORGO”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above discussion and table are based on 128,674,548 shares of Class A common stock outstanding as of June 30,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13,055,928 shares of Class A common stock issuable upon the exercise of options outstanding as of June 30, 2026 under our 2018 Equity Incentive Plan, or 2018 Plan, and our 2003 Stock Incentive Plan, or 2003 Plan, at a weighted average exercise price of $4.43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5,610,677 shares of our Class A common stock issuable upon vesting and settlement of outstanding restricted stock units and performance share units as of June 30, 2026 under our 2018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8,593,198 shares of Class A common stock reserved for future issuance under our 2018 Plan;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39,023,068 shares of Class A common stock issuable upon conversion of 130,000 shares of our Series A redeemable convertible preferred stock, $0.0001 par value (Convertible Preferred Stock), outstanding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reflects or assumes no exercise or forfeiture of any outstanding options or settlement of restricted stock units and performance share units since June 30, 2026 and no conversion of any of our Convertible Preferred Stock outstanding as of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25455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Class A common stock involves a high degree of risk. Before making a decision to invest in our Class A common stock, you should consider carefully the risks and uncertainties described under the heading “Risk Factors” contained or incorporated by reference in this prospectus supplement and the accompanying prospectus, including the risk factors incorporated by reference herein from our most recent Annual Report on Form 10-K, as may be updated by our subsequent Quarterly Reports on Form 10-Q and other filings we make with the SEC.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Class A common stock to decline, resulting in a loss of all or part of your investment. Please also read carefully the section below titled “Cautionary Note Regarding Forward-Looking Statements.” Additional risks not known to us or that we believe are immaterial may also significantly impair our business operations and could result in a loss of all or part of your investment in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the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will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We cannot specify with certainty the particular uses of the net proceeds we will receive from this offering. Our management will have broad discretion in the application of the net proceeds. We currently intend to use the net proceeds from this offering, if any, together with our existing cash, cash equivalents and short-term and long-term investments, for working capital and general corporate purposes, including, but not limited to, facility expansion and manufacturing enhancements, salesforce expansion and to conduct clinical studies of, obtain regulatory approvals and additional commercial insurance coverage for, our products.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Class A common stock in this offering, you may experience immediate and substantial dilution in the net tangible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Class A common stock outstanding prior to this offering. Assuming that an aggregate of 31,645,569 shares of our Class A common stock are sold at a price of $2.37 per share, the last reported sale price of our Class A common stock on the Nasdaq Capital Market on August 5, 2026, for aggregate gross proceeds of $75 million, and after deducting 3.0% of commissions as well as estimated offering expenses payable by us, you would experience immediate dilution of $0.32 per share, representing the difference between our as-adjusted net tangible book value per share as of June 30, 2026 after giving effect to this offering and the assumed public offering price. The exercise of outstanding stock options would result in further dilution of your investment. See the section 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 </w:t>
      </w:r>
    </w:p>
    <w:p>
      <w:pPr>
        <w:pStyle w:val="TextBody"/>
        <w:bidi w:val="0"/>
        <w:spacing w:before="240" w:after="0"/>
        <w:jc w:val="left"/>
        <w:rPr>
          <w:rFonts w:ascii="Times New Roman" w:hAnsi="Times New Roman"/>
          <w:sz w:val="20"/>
        </w:rPr>
      </w:pPr>
      <w:r>
        <w:rPr>
          <w:rFonts w:ascii="Times New Roman" w:hAnsi="Times New Roman"/>
          <w:sz w:val="20"/>
        </w:rPr>
        <w:t xml:space="preserve">Further, the terms of our Convertible Preferred Stock include anti-dilution price protection which provides for an adjustment to the conversion price, and a corresponding increase in the number of shares of Class A common stock issuable on conversion of such Convertible Preferred Stock, if we sell shares of our Class A common stock at a per share price below the conversion price for the Convertible Preferred Stock, which was initially $3.7917 per share. Therefore, unless we receive waivers from the holders of our outstanding Convertible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to the extent we sell shares in this offering at prices that are lower than the conversion price at such time, the conversion price will automatically be reduced on a weighted average basis in accordance with the terms of the certificate of designations for the Convertible Preferred Stock, and the shares of Class A common stock issuable upon conversion of the Convertible Preferred Stock will be proportionately higher. This would cause additional dilution to purchasers of the shares we sell, as well as our existing stockholders. Additionally, because we may wish to avoid such an outcome, our ability to raise capital under the sales agreement may be reduced if the trading price of our Class A common stock is lower than the conversion price. Assuming that an aggregate of 31,645,569 shares of our Class A common stock are sold at a price of $2.37 per share, the last reported sale price of our Class A common stock on the Nasdaq Capital Market on August 5, 2026, the conversion price of the Convertible Preferred Stock would be adjusted to $3.51 per share and the number of shares of Class A common stock issuable upon conversion of the Convertible Preferred Stock as of June 30, 2026 adjusted on a pro forma basis for the decrease in the conversion price, would increase from 39,023,068 shares to 42,142,023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Class A common stock in the public markets, or the perception of such sales, could depress the trading price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Class A common stock or other equity-related securities in the public markets, or the perception that such sales could occur, could depress the market price of our Class A common stock and impair our ability to raise capital through the sale of additional equity securities. We may sell large quantities of our Class A common stock at any time pursuant to this prospectus supplement or in one or more separate offerings. We cannot predict the effect that future sales of Class A common stock or other equity-related securities would have on the market price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Future issuances of our Class A common stock or our other equity securities could further depress the market for our Class A common stock. We expect to continue to incur commercialization, drug development and selling, general and administrative costs, and to satisfy our funding requirements, we may need to sell additional equity securities. The sale or the proposed sale of substantial amounts of our Class A common stock or our other equity securities may adversely affect the market price of our Class A common stock and our stock price may decline substantially. We may sell shares or other securities in any other offering at a price per share that is less than the price per share paid by investors in this offering. Our stockholders may experience substantial dilution and a reduction in the price that they are able to obtain upon sale of their shares. New equity securities issued may have greater rights, preferences or privileges than our existing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not possible to predict the actual number of shares we will sell under the sales agreement, or the gross proceeds resulting from those sales.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instruction to the sales agents to sell shares of our Class A common stock at any time throughout the term of the sales agreement. The number of shares, if any, that are sold through the sales agents after our instruction will fluctuate based on a number of factors, including the market price of our Class A common stock during the sales period, the limits we set with the sales agents in any instruction to sell shares, and the demand for our Class A common stock during the sales period. Because the price per share of each share sold, if any, will fluctuate during this offering, it is not currently possible to predict the number of shares that will be sold or the gross proceeds to be raised in connection with those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Class A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predetermined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25455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documents incorporated or deemed to be incorporated by reference into this prospectus supplement and the accompanying prospectus, include “forward-looking statements” within the meaning of Section 27A of the Securities Act, and Section 21E of the Exchange Act. All statements, other than statements of historical facts, contained or incorporated by reference in this prospectus supplement and the accompanying prospectus, including statements regarding our business, operations and financial performance and condition, as well as our plans, objectives and expectations for our business operations and financial performance and condition, as well as assumptions relating to the foregoing, are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regarding our strategy, operations, financial position, projected costs, prospects, plans and objectives of management and other statements of expectations, beliefs, future plans and strategies, statements about research and clinical development plans and the timing for regulatory approval of certain of our products including ReNu, liquidity and capital needs and statements regarding anticipated use of proceeds from this offering, estimates of our cash, cash equivalents and marketable securities as of June 30, 2026, our beliefs about the length of time over which our capital resources will be sufficient to meet our anticipated cash requirements,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prospectus supplement, the accompanying prospectus and the information incorporated by reference in this prospectus supplement and the accompanying prospectus may turn out to be inaccurate.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cause actual results to differ materially from current expectations include, among other things, (1) those listed under the “Risk Factors” section of this prospectus supplement, the accompanying prospectus, any related free writing prospectus, (2) the impact of any changes to the coverage and reimbursement levels for our products, particularly in light of CMS’ updated 2026 Medicare reimbursement and coverage changes; (3) we face significant and continuing competition, which could adversely affect our business, results of operations and financial condition; (4) rapid technological change could cause our products to become obsolete and if we do not enhance our product offerings through our research and development efforts, we may be unable to effectively compete; (5) to be commercially successful, we must convince physicians that our products are safe and effective alternatives to existing treatments and that our products should be used in their procedures; (6) our ability to raise funds to expand our business; (7) we have incurred losses in the prior periods and may incur losses in the future; (8) changes in applicable laws or regulations; (9) the possibility that we may be adversely affected by other economic, business, and/or competitive factors; (10) our ability to maintain production or obtain supply of our products in sufficient quantities to meet demand; (11) our ability to build out our Smithfield, Rhode Island facility on time and on budget; (12) whether we are able to obtain regulatory approval for and successfully commercialize ReNu; and (13) other risks and uncertainties described in our filings with the Securities and Exchange Commission, including our most recent Annual Report on Form 10-K, any subsequent Quarterly Reports on Form 10-Q and any Current Reports on Form 8-K filed subsequent to the end of the year covered by such annual report. Moreover, we operate in a very competitive and rapidly changing environment. New risks emerge from time to time. You should not rely upon forward-looking statements as predictions of future events. Our forward-looking statements do not reflect the potential impact of any future acquisitions, mergers, dispositions, joint ventures or investments that we may make. Except as required by law, we assume no obligation to update or revise these forward-looking statements for any reason, even if new information becomes available in the future. In that respect, we wish to caution readers not to place undue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reliance on any such forward-looking statements, which speak only as of the date they are made. You should read this prospectus supplement, the accompanying prospectus, the documents that we reference in the prospectus supplement and the accompanying prospectus and the documents that we have filed as exhibits to the registration statement of which this prospectus supplement and the accompanying prospectus are a part completely and with the understanding that our actual future results may be materially different from what we expect.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into this prospectus supplement and the accompanying prospectus also contain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and our management is responsible for the accuracy of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2545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Class A common stock having aggregate sales proceeds of up to $75 million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the sales agents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the sale of shares of our Class A common stock in this offering, together with our existing cash, cash equivalents and short-term and long-term investments, for working capital and general corporate purposes, including, but not limited to, facility expansion and manufacturing enhancements, salesforce expansion and to conduct clinical studies of, obtain regulatory approvals and additional commercial insurance coverage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supplement, we cannot predict with certainty all of the particular uses for the net proceeds from this offering or the amounts that we will actually spend on the uses set forth above. As a result, our management will have broad discretion regarding the timing and application of the net proceeds from this offering. Pending their use, we intend to invest the net proceeds of this offering in cash items, certificates of deposit or direct or guaranteed obligations of the United States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25455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$256.4 million, or $1.99 per share. Net tangible book value is total assets minus the sum of liabilities, goodwill and intangible assets. Net tangible book value per share is net tangible book value divided by the total number of shares of Class A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up to 31,645,569 shares of our Class A common stock in this offering at an assumed public offering price of $2.37 per share, the last reported sale price of our Class A common stock on the Nasdaq Capital Market on August 5, 2026, and after deducting 3.0% in commissions as well as estimated offering expenses payable by us, our as-adjusted net tangible book value as of June 30, 2026 would have been approximately $328.8 million, or $2.05 per share. This represents an immediate increase in net tangible book value of $0.06 per share to existing stockholders and immediate dilution of $0.32 per share to investors purchasing our Class A common stock in this offering at the assumed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The as-adjusted information is illustrative only and will change based on the actual price to the public, the actual number of shares sold and other terms of the offering determined at the time shares of our Class A common stock are sold pursuant to this prospectus supplement. The as-adjusted information assumes that all of our Class A common stock in the aggregate amount of $75 million is sold at the assumed public offering price of $2.37 per share, the last reported sale price of our Class A common stock on the Nasdaq Capital Market on August 5, 2026. The shares sold in this offering, if any, will be sold from time to time at various prices.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89"/>
        <w:gridCol w:w="388"/>
        <w:gridCol w:w="143"/>
        <w:gridCol w:w="440"/>
        <w:gridCol w:w="60"/>
        <w:gridCol w:w="388"/>
        <w:gridCol w:w="143"/>
        <w:gridCol w:w="440"/>
        <w:gridCol w:w="64"/>
      </w:tblGrid>
      <w:tr>
        <w:trPr/>
        <w:tc>
          <w:tcPr>
            <w:tcW w:w="5689"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8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2.37</w:t>
            </w:r>
          </w:p>
        </w:tc>
        <w:tc>
          <w:tcPr>
            <w:tcW w:w="64" w:type="dxa"/>
            <w:tcBorders/>
            <w:shd w:fill="CCEEFF" w:val="clear"/>
            <w:vAlign w:val="bottom"/>
          </w:tcPr>
          <w:p>
            <w:pPr>
              <w:pStyle w:val="TableContents"/>
              <w:bidi w:val="0"/>
              <w:spacing w:before="0" w:after="283"/>
              <w:jc w:val="left"/>
              <w:rPr/>
            </w:pPr>
            <w:r>
              <w:rPr/>
              <w:t> </w:t>
            </w:r>
          </w:p>
        </w:tc>
      </w:tr>
      <w:tr>
        <w:trPr/>
        <w:tc>
          <w:tcPr>
            <w:tcW w:w="5689"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38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0.06</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89" w:type="dxa"/>
            <w:tcBorders/>
          </w:tcPr>
          <w:p>
            <w:pPr>
              <w:pStyle w:val="TableContents"/>
              <w:bidi w:val="0"/>
              <w:spacing w:before="0" w:after="0"/>
              <w:jc w:val="left"/>
              <w:rPr>
                <w:rFonts w:ascii="Times New Roman" w:hAnsi="Times New Roman"/>
                <w:sz w:val="20"/>
              </w:rPr>
            </w:pPr>
            <w:r>
              <w:rPr>
                <w:rFonts w:ascii="Times New Roman" w:hAnsi="Times New Roman"/>
                <w:sz w:val="20"/>
              </w:rPr>
              <w:t>As-adjusted net tangible book value per share as of June 30, 2026, after giving effect to this offering</w:t>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2.05</w:t>
            </w:r>
          </w:p>
        </w:tc>
        <w:tc>
          <w:tcPr>
            <w:tcW w:w="64" w:type="dxa"/>
            <w:tcBorders/>
            <w:vAlign w:val="bottom"/>
          </w:tcPr>
          <w:p>
            <w:pPr>
              <w:pStyle w:val="TableContents"/>
              <w:bidi w:val="0"/>
              <w:spacing w:before="0" w:after="283"/>
              <w:jc w:val="left"/>
              <w:rPr/>
            </w:pPr>
            <w:r>
              <w:rPr/>
              <w:t> </w:t>
            </w:r>
          </w:p>
        </w:tc>
      </w:tr>
      <w:tr>
        <w:trPr/>
        <w:tc>
          <w:tcPr>
            <w:tcW w:w="5689"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purchasing our Class A common stock in this offering</w:t>
            </w:r>
          </w:p>
        </w:tc>
        <w:tc>
          <w:tcPr>
            <w:tcW w:w="38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0.32</w:t>
            </w:r>
          </w:p>
        </w:tc>
        <w:tc>
          <w:tcPr>
            <w:tcW w:w="64" w:type="dxa"/>
            <w:tcBorders/>
            <w:shd w:fill="CCEEFF" w:val="clear"/>
            <w:vAlign w:val="bottom"/>
          </w:tcPr>
          <w:p>
            <w:pPr>
              <w:pStyle w:val="TableContents"/>
              <w:bidi w:val="0"/>
              <w:spacing w:before="0" w:after="283"/>
              <w:jc w:val="left"/>
              <w:rPr/>
            </w:pPr>
            <w:r>
              <w:rPr/>
              <w:t> </w:t>
            </w:r>
          </w:p>
        </w:tc>
      </w:tr>
      <w:tr>
        <w:trPr/>
        <w:tc>
          <w:tcPr>
            <w:tcW w:w="5689"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increase of $1.00 per share in the price at which the shares are sold from the assumed public offering price of $2.37 per share shown in the table above, assuming all of our Class A common stock in the aggregate amount of $75 million during the term of the sales agreement with the sales agents is sold at that price, would increase our as-adjusted net tangible book value per share to $2.18 per share and would increase the dilution in net tangible book value per share to new investors in this offering to $1.19 per share, after deducting 3.0% in commissions as well as estimated offering expenses payable by us. A decrease of $1.00 per share in the price at which the shares are sold from the assumed public offering price of $2.37 per share shown in the table above, assuming all of our Class A common stock in the aggregate amount of $75 million during the term of the sales agreement with the sales agents is sold at that price, would decrease our as-adjusted net tangible book value per share to $1.79 per share and would decrease the dilution in net tangible book value per share to new investors in this offering to $0.42 per share, after deducting 3.0% in commissions as well as estimated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128,674,548 shares of Class A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13,055,928 shares of Class A common stock issuable upon the exercise of options outstanding as of June 30, 2026 under our 2018 Equity Incentive Plan, or 2018 Plan, and our 2003 Stock Incentive Plan, or 2003 Plan, at a weighted average exercise price of $4.43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5,610,677 shares of our Class A common stock issuable upon vesting and settlement of outstanding restricted stock units and performance share units as of June 30, 2026 under our 2018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8,593,198 shares of Class A common stock reserved for future issuance under our 2018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39,023,068 shares of Class A common stock issuable upon conversion of 130,000 shares of our Convertible Preferred Stock, outstanding as of June 30, 2026. Assuming that an aggregate of 31,645,569 shares of our Class A common stock are sold in this offering at a price of $2.37 per share, which is the last reported sale price of our Class A common stock on the Nasdaq Capital Market on August 5, 2026, the conversion price of the Convertible Preferred Stock would be adjusted to $3.51 per share and the number of shares of Class A common stock issuable upon conversion of the Convertible Preferred Stock as of June 30, 2026, adjusted on a pro forma basis for the decrease in the conversion price, would increase to an aggregate of 42,142,023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25455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At-The-Market Sales Agreement, dated August 6, 2026 (the “sales agreement”) with BTIG, LLC and Citizens JMP Securities, LLC as our sales agents, under which we may offer and sell shares of our Class A common stock from time to time through either sales agent. In accordance with the terms of the sales agreement and pursuant to this prospectus supplement, we may now offer and sell shares of our Class A common stock having an aggregate offering price of up to $75 million from time to time through either sales agent. A copy of the sales agreement will be filed as an exhibit to a current report on Form 8-K filed under the Exchange Act and incorporated by reference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will use commercially reasonable efforts to sell on our behalf all shares of our Class A common stock requested to be sold by us, consistent with their normal trading and sales practices, under the terms and subject to the conditions set forth in the sales agreement. We may instruct the sales agents not to sell our shares of Class A common stock if the sales cannot be effected at or above the price designated by us in any instruction. We or the sales agents may suspend the offering of our Class A common stock upon proper notice and subject to other conditions, as further described in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delivery of a placement notice, and subject to our instructions in that notice and the terms and conditions of the sales agreement generally, the sales agents may sell our Class A common stock by any method permitted by law that is deemed to be an “at the market offering” as defined in Rule 415(a)(4) promulgated under the Securities Act, including sales made directly on or through Nasdaq or on any other existing trading market for our Class A common stock, or any other method permitted by applicable law. The sales agents will provide written confirmation to us no later than the opening on the Nasdaq Capital Market on the day following each day on which shares of our Class A common stock are sold under the sales agreement. Each confirmation will include the number of shares sold on that day, the compensation payable by us to the sales agents and the net proceeds payable to us.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sales agents commissions for their services in acting as sales agents in the sale of our Class A common stock. The sales agents will be entitled to compensation in an amount of up to 3.0% of the gross sales price of the Class A common stock sold through them as sales agents under the sales agreement. We have also agreed to reimburse the sales agents for the out-of-pocket reasonable fees and disbursements of their legal counsel in an amount not to exceed $75,000 in connection with the establishment of this “at the market offering” program in addition to certain ongoing disbursements of its legal counsel. We estimate that the total expenses for this offering, excluding compensation payable to the sales agents under the terms of the sales agreement, will be approximately $300,000.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our Class A common stock will occur on the first business day following the date on which any such sales are made, or on some other date that is agreed upon by us and the sales agents in connection with a particular transaction, in return for payment of the net proceeds to us. Sales of our Class A common stock as contemplated in this prospectus will be settled through the facilities of The Depository Trust Company or by such other means as we and the sales agents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our Class A common stock sold through the sales agents under the sales agreement, and the net proceeds to us in connection with such sales.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and their respective affiliates have from time to time provided, and may in the future provide, various investment banking, commercial banking, fiduciary and advisory services for us for which they have received, and may in the future receive, customary fees and expenses. The sales agents and their respective affiliates may from time to time engage in other transactions with and perform services for us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 of our Class A common stock on our behalf, the sales agents will be deemed to be underwriters within the meaning of the Securities Act, and the compensation paid by us to the sales agents will be deemed to be underwriting commissions or discounts. We have agreed to indemnify the sales agents against specified liabilities, including liabilities under the Securities Act. We have also agreed to contribute to payments that the sales agents may be required to make because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our Class A common stock pursuant to the sales agreement will terminate upon termination of the sales agreement. The sales agreement may be terminated by either sales agent or us at any time upon specified prior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25455_9"/>
      <w:bookmarkEnd w:id="1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www.organogenesis.com. Our website is not a part of this prospectus supplement and the accompanying prospectus and is not incorporated by reference in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we filed with the SEC and omit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or the accompanying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12" w:name="supprom125455_10"/>
      <w:bookmarkEnd w:id="12"/>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This means that we can disclose important information to you by referring you to another document filed separately with the SEC. The information that we incorporate by reference in this prospectus supplement is considered to be part of this prospectus supplement. Because we are incorporating by reference future filings with the SEC, this prospectus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001-37906) and any future filings we make with the SEC under Sections 13(a), 13(c), 14 or 15(d) of the Exchange Act (other than documents or information deemed to have been furnished and not filed in accordance with SEC rules)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February 26, 2026</w:t>
              </w:r>
            </w:hyperlink>
            <w:r>
              <w:rPr>
                <w:rFonts w:ascii="Times New Roman" w:hAnsi="Times New Roman"/>
                <w:sz w:val="20"/>
              </w:rPr>
              <w:t xml:space="preserve">, and the portions of our Definitive Proxy Statement on Schedule 14A filed with the SEC on </w:t>
            </w:r>
            <w:hyperlink r:id="rId4">
              <w:r>
                <w:rPr>
                  <w:rStyle w:val="InternetLink"/>
                  <w:rFonts w:ascii="Times New Roman" w:hAnsi="Times New Roman"/>
                  <w:sz w:val="20"/>
                </w:rPr>
                <w:t>April 30, 2026</w:t>
              </w:r>
            </w:hyperlink>
            <w:r>
              <w:rPr>
                <w:rFonts w:ascii="Times New Roman" w:hAnsi="Times New Roman"/>
                <w:sz w:val="20"/>
              </w:rPr>
              <w:t xml:space="preserve"> and incorporated by reference in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March 31, 2026 and June 30, 2026, filed with the SEC on </w:t>
            </w:r>
            <w:hyperlink r:id="rId5">
              <w:r>
                <w:rPr>
                  <w:rStyle w:val="InternetLink"/>
                  <w:rFonts w:ascii="Times New Roman" w:hAnsi="Times New Roman"/>
                  <w:sz w:val="20"/>
                </w:rPr>
                <w:t>May  7, 2026</w:t>
              </w:r>
            </w:hyperlink>
            <w:r>
              <w:rPr>
                <w:rFonts w:ascii="Times New Roman" w:hAnsi="Times New Roman"/>
                <w:sz w:val="20"/>
              </w:rPr>
              <w:t xml:space="preserve"> and </w:t>
            </w:r>
            <w:hyperlink r:id="rId6">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7">
              <w:r>
                <w:rPr>
                  <w:rStyle w:val="InternetLink"/>
                  <w:rFonts w:ascii="Times New Roman" w:hAnsi="Times New Roman"/>
                  <w:sz w:val="20"/>
                </w:rPr>
                <w:t>February  23, 2026</w:t>
              </w:r>
            </w:hyperlink>
            <w:r>
              <w:rPr>
                <w:rFonts w:ascii="Times New Roman" w:hAnsi="Times New Roman"/>
                <w:sz w:val="20"/>
              </w:rPr>
              <w:t xml:space="preserve"> and </w:t>
            </w:r>
            <w:hyperlink r:id="rId8">
              <w:r>
                <w:rPr>
                  <w:rStyle w:val="InternetLink"/>
                  <w:rFonts w:ascii="Times New Roman" w:hAnsi="Times New Roman"/>
                  <w:sz w:val="20"/>
                </w:rPr>
                <w:t>June 16,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Class A common stock contained in our Registration Statement on Form 8-A filed with the SEC on </w:t>
            </w:r>
            <w:hyperlink r:id="rId9">
              <w:r>
                <w:rPr>
                  <w:rStyle w:val="InternetLink"/>
                  <w:rFonts w:ascii="Times New Roman" w:hAnsi="Times New Roman"/>
                  <w:sz w:val="20"/>
                </w:rPr>
                <w:t>October 5, 2016</w:t>
              </w:r>
            </w:hyperlink>
            <w:r>
              <w:rPr>
                <w:rFonts w:ascii="Times New Roman" w:hAnsi="Times New Roman"/>
                <w:sz w:val="20"/>
              </w:rPr>
              <w:t xml:space="preserve">, including any amendment or report filed for the purpose of updating such description, including </w:t>
            </w:r>
            <w:hyperlink r:id="rId10">
              <w:r>
                <w:rPr>
                  <w:rStyle w:val="InternetLink"/>
                  <w:rFonts w:ascii="Times New Roman" w:hAnsi="Times New Roman"/>
                  <w:sz w:val="20"/>
                </w:rPr>
                <w:t>Exhibit 4.1</w:t>
              </w:r>
            </w:hyperlink>
            <w:r>
              <w:rPr>
                <w:rFonts w:ascii="Times New Roman" w:hAnsi="Times New Roman"/>
                <w:sz w:val="20"/>
              </w:rPr>
              <w:t xml:space="preserve"> to our Annual Report on Form 10-K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oral or written request and at no cost to the requester, we will provide to each person, including any beneficial owner, to whom this prospectus supplement and accompanying prospectus is delivered, a copy of any or all of the information that has been incorporated by reference in this prospectus supplement and accompanying prospectus but not delivered with this prospectus supplement and accompanying prospectus. You may obtain copies of these documents, at no cost to you, from our website (www.organogenesis.com), or by writing or telephoning us at the following address: Organogenesis Holdings Inc., 85 Dan Road, Canton, MA 02021, (781) 575-0775. As noted above, our website is not a part of this prospectus supplement and accompanying prospectus and is not incorporated by reference in this prospectus supplement and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25455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Class A common stock offered by this prospectus supplement will be passed upon for us by Foley Hoag LLP, Boston, Massachusetts. The sales agents are being represented in connection with this offering by DLA Piper LLP (US), New York, New York. </w:t>
      </w:r>
    </w:p>
    <w:p>
      <w:pPr>
        <w:pStyle w:val="TextBody"/>
        <w:bidi w:val="0"/>
        <w:spacing w:before="480" w:after="0"/>
        <w:jc w:val="center"/>
        <w:rPr>
          <w:rFonts w:ascii="Times New Roman" w:hAnsi="Times New Roman"/>
          <w:b/>
          <w:sz w:val="20"/>
        </w:rPr>
      </w:pPr>
      <w:bookmarkStart w:id="14" w:name="supprom125455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Organogenesis Holdings Inc. as of December 31, 2025 and 2024 and for each of the years in the three-year period ended December 31, 2025 and the effectiveness of internal control over financial reporting as of December 31, 2025 incorporated in this Prospectus Supplement by reference from the Organogenesis Holdings Inc. Annual Report on Form 10-K for the year ended December 31, 2025 have been audited by RSM US LLP, an independent registered public accounting firm, as stated in their reports thereon, incorporated herein by reference, and have been incorporated in this Prospectus Supplement in reliance upon such reports and upon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383280" cy="4025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383280" cy="4025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$250,000,000 </w:t>
      </w:r>
    </w:p>
    <w:p>
      <w:pPr>
        <w:pStyle w:val="TextBody"/>
        <w:bidi w:val="0"/>
        <w:spacing w:before="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 Shares of Class A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Offered by the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up to $250.0 million in the aggregate of the securities identified above, and the selling securityholders may offer and sell up to 50,000,000 shares in the aggregate of Class A common stock identified above, in each case from time to time in one or more offerings. This prospectus provides you with a general description of the securities. We will not receive any proceeds from the sale of our Class A common stock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any of the selling securityholders offer and sell securities, we or such selling securityholders will provide a supplement to this prospectus that contains specific information about the offering and, if applicable, the selling securityholders, as well as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In addition, the selling securityholders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Capital Market under the symbol “ORGO.” On August 7, 2024, the last reported sale price of our Class A common stock on the Nasdaq Capital Market was $2.50 per share. There is currently no market for the other securities we may offer.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securities involves significant risks. See “</w:t>
      </w:r>
      <w:hyperlink w:anchor="tx125455_3">
        <w:r>
          <w:rPr>
            <w:rStyle w:val="InternetLink"/>
            <w:rFonts w:ascii="Times New Roman" w:hAnsi="Times New Roman"/>
            <w:b/>
            <w:sz w:val="24"/>
          </w:rPr>
          <w:t>Risk Factors</w:t>
        </w:r>
      </w:hyperlink>
      <w:r>
        <w:rPr>
          <w:rFonts w:ascii="Times New Roman" w:hAnsi="Times New Roman"/>
          <w:b/>
          <w:sz w:val="24"/>
        </w:rPr>
        <w:t xml:space="preserve">” on page 1 of this prospectus as well as those included in any accompanying prospectus supplement and in the documents incorporated by reference in this prospectus for a discussion of the factors you should carefully consider before deciding to purchase these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15,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5">
              <w:r>
                <w:rPr>
                  <w:rStyle w:val="InternetLink"/>
                  <w:rFonts w:ascii="Times New Roman" w:hAnsi="Times New Roman"/>
                  <w:sz w:val="20"/>
                </w:rPr>
                <w:t>INFORMATION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6">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2">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3">
              <w:r>
                <w:rPr>
                  <w:rStyle w:val="InternetLink"/>
                  <w:rFonts w:ascii="Times New Roman" w:hAnsi="Times New Roman"/>
                  <w:sz w:val="20"/>
                </w:rPr>
                <w:t>SELLING SECURITYHOLDERS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4">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5">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25455_16">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25455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By using a shelf registration statement, we may sell securities from time to time and in one or more offerings up to a total dollar amount of $250.0 million and the selling securityholders to be named in a supplement to this prospectus may, from time to time, sell up to 50,000,0000 shares of Class A common stock from time to time in one or more offerings as described in this prospectus. Each time that we or the selling securityholders offer and sell securities, we or the selling securityholders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or unless the context otherwise requires, all references to “we,” “us,” “our,” “our company” or “the Company” in this prospectus refer collectively to Organogenesis Holdings Inc., a Delaware corporation,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6" w:name="tx125455_2"/>
      <w:bookmarkEnd w:id="1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highlights some information from this prospectus. It is not complete and does not contain all of the information that you should consider before making an investment decision. You should read this entire prospectus, including the “Risk Factors” section on page 2 and the disclosures to which that section refers you, the financial statements and related notes and the other more detailed information appearing elsewhere or incorporated by reference into this prospectus before investing in any of the securities described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Organogenesis is a leading regenerative medicine company focused on the development, manufacture and commercialization of solutions for the Advanced Wound Care and Surgical &amp; Sports Medicine markets. Our products have been shown through clinical and scientific studies to support and in some cases accelerate tissue healing and improve patient outcomes. We are advancing the standard of care in each phase of the healing process through multiple breakthroughs in tissue engineering and cell therapy. Our solutions address large and growing markets driven by aging demographics and increases in comorbidities such as diabetes, obesity, cardiovascular and peripheral vascular disease. We offer our differentiated products and in-house customer support to a wide range of health care customers including hospitals, wound care centers, government facilities, ambulatory surgery centers (ASCs) and physician offices. Our mission is to provide integrated healing solutions that substantially improve medical outcomes and the lives of patients while lowering the overall cost of care.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a comprehensive portfolio of products in the markets we serve that address patient needs across the continuum of care. We have and intend to continue to generate data from clinical trials, real-world outcomes and health economics research that validate the clinical efficacy and value proposition offered by our products. Several of our existing and pipeline products in our portfolio have Premarket Application (PMA) approval, or 510(k) clearance from the United States Food and Drug Administration (FDA). Given the extensive time and cost required to conduct clinical trials and receive FDA approvals, we believe that our data and regulatory approvals provide us a strong competitive advantage. Our product development expertise and multiple technology platforms provide a robust product pipeline, which we believe will drive future growth.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Advanced Wound Care market, we focus on the development and commercialization of advanced wound care products for the treatment of chronic and acute wounds in various treatment settings. We have a comprehensive portfolio of regenerative medicine products, capable of supporting patients from early in the wound healing process through wound closure regardless of wound type. Our advanced wound care products include Apligraf for the treatment of venous leg ulcers (VLUs) and diabetic foot ulcers (DFUs); Dermagraft for the treatment of DFUs (manufacturing and distribution currently suspended pending transition to a new manufacturing facility or engagement of a third-party manufacturer); PuraPly AM as an antimicrobial barrier and native, cross-linked extracellular matrix scaffold for a broad variety of wound types; and Affinity, Novachor, and NuShield placental allografts to address a variety of wound sizes and types as a protective barrier and extracellular matrix scaffold. We have a highly trained and specialized direct wound care sales force paired with comprehensive customer support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Surgical &amp; Sports Medicine market, we are leveraging our broad regenerative medicine capabilities to address chronic and acute surgical wounds and tendon and ligament injuries. Our Sports Medicine products include NuShield as a surgical barrier and PuraForce as a reinforcement matrix in targeted soft tissue repairs; and Affinity, Novachor, PuraPly MZ, PuraPly AM, and PuraPly SX for management of open wounds in the surgical setting. We currently sell these products through independent agencies and our direct sales 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formerly a special purpose acquisition company, incorporated under the laws of the Cayman Islands on December 4, 2015 under the name Avista Healthcare Public Acquisition Corp. (AHPAC), for the purpose of effecting a merger, share exchange, asset acquisition, share purchase, reorganization or similar business combination with one or more businesses. On December 10, 2018, pursuant to the terms of that certain Agreement and Plan of Merger, dated as of August 17, 2018, by and among AHPAC, Avista Healthcare Merger Sub, Inc. (Merger Sub) and Organogenesis Inc., (i) AHPAC transferred by way of continuation out of the Cayman Islands into the State of Delaware as a corporation incorporated under the laws of the State of Delaware under Section 388 of the Delaware General Corporation Law; and (ii) Merger Sub merged with and into Organogenesis Inc., with Organogenesis Inc. surviving as a direct wholly owned subsidiary of AHPAC, which changed its name to Organogenesis Holdings Inc., these transactions referred to herein at the “Business Combination.”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85 Dan Road, Canton, MA 02021, and our telephone number is (781) 575-0775. Our corporate website address is www.organogenesis.com. The information contained on, or that may be accessed through, our website is not part of, and is not incorporated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25455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any related prospectus supplement or any related free writing prospectus involves risks. You should carefully consider the risk factors incorporated by reference to our most recent Annual Report on Form 10-K, any subsequent Quarterly Reports on Form 10-Q and any Current Reports on Form 8-K filed subsequent to the end of the year covered by such annual report, together with any amendments or supplements thereto, and all other information contained or incorporated by reference into this prospectus, as updated by our subsequent filings under the Securities Exchange Act of 1934, as amended, or the Exchange Act, and the risk factors (if any) and other information contained in any applicable prospectus supplement or free writing prospectus, before acquiring any of such securities. The occurrence of any of these risks might cause you to lose all or part of your investment in the offered securities. Please also refer to the section below entitled “Cautionary Note Regarding Forward-Looking Statements.” Additional risks not known to us or that we believe are immaterial may also significantly impair our business operations and could result in a loss of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25455_4"/>
      <w:bookmarkEnd w:id="1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www.organogenesis.com. Our website is not a part of this prospectus and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480" w:after="0"/>
        <w:jc w:val="center"/>
        <w:rPr>
          <w:rFonts w:ascii="Times New Roman" w:hAnsi="Times New Roman"/>
          <w:b/>
          <w:sz w:val="20"/>
        </w:rPr>
      </w:pPr>
      <w:bookmarkStart w:id="19" w:name="tx125455_5"/>
      <w:bookmarkEnd w:id="1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This means that we can disclose important information to you by referring you to another document filed separately with the SEC.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001-37906) and any future filings we make with the SEC under Sections 13(a), 13(c), 14 or 15(d) of the Exchange Act (other than documents or information deemed to have been furnished and not filed in accordance with SEC rules) on or after (1) the date of the initial registration statement and prior to the effectiveness of the registration statement and (2) the date of effectiveness of the registration statement but prior to the termination of the offering of the securities hereunder: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3">
              <w:r>
                <w:rPr>
                  <w:rStyle w:val="InternetLink"/>
                  <w:rFonts w:ascii="Times New Roman" w:hAnsi="Times New Roman"/>
                  <w:sz w:val="20"/>
                </w:rPr>
                <w:t>Form 10-Q</w:t>
              </w:r>
            </w:hyperlink>
            <w:r>
              <w:rPr>
                <w:rFonts w:ascii="Times New Roman" w:hAnsi="Times New Roman"/>
                <w:sz w:val="20"/>
              </w:rPr>
              <w:t xml:space="preserve"> for the quarter ended March 31, 2024, filed with the SEC on May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quarter ended June 30, 2024, filed with the SEC on August 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5">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April 3, 2024</w:t>
              </w:r>
            </w:hyperlink>
            <w:r>
              <w:rPr>
                <w:rFonts w:ascii="Times New Roman" w:hAnsi="Times New Roman"/>
                <w:sz w:val="20"/>
              </w:rPr>
              <w:t xml:space="preserve"> and </w:t>
            </w:r>
            <w:hyperlink r:id="rId17">
              <w:r>
                <w:rPr>
                  <w:rStyle w:val="InternetLink"/>
                  <w:rFonts w:ascii="Times New Roman" w:hAnsi="Times New Roman"/>
                  <w:sz w:val="20"/>
                </w:rPr>
                <w:t>June 21,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Class A common stock filed as  </w:t>
            </w:r>
            <w:hyperlink r:id="rId18">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oral or written request and at no cost to the requester, we will provide to each person, including any beneficial owner, to whom a prospectus is delivered, a copy of any or all of the information that has been incorporated by reference in this prospectus but not delivered with this prospectus. You may obtain copies of these documents, at no cost to you, from our website (www.organogenesis.com), or by writing or telephoning us at the following address: Organogenesis Holdings Inc., 85 Dan Road, Canton, MA 02021, (781) 575-0775. As noted above, our website is not a part of this prospectus and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25455_6"/>
      <w:bookmarkEnd w:id="2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include “forward-looking statements” within the meaning of Section 27A of the Securities Act of 1933, as amended, or the Securities Act, and Section 21E of the Exchange Act. All statements, other than statements of historical facts, contained or incorporated by reference in this prospectus, including statements regarding our business, operations and financial performance and condition, as well as our plans, objectives and expectations for our business operations and financial performance and condition, as well as assumptions relating to the foregoing, are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regarding our strategy, operations, financial position, projected costs, prospects, plans and objectives of management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prospectus and the information incorporated by reference in this prospectus may turn out to be inaccurate.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cause actual results to differ materially from current expectations include, among other things, those listed under “Risk Factors” section of this prospectus, any related prospectus supplement or any related free writing prospectus, our most recent annual report on Form 10-K, any subsequent quarterly reports on Form 10-Q and any current reports on Form 8-K filed subsequent to the end of the year covered by such annual report. Moreover, we operate in a very competitive and rapidly changing environment. New risks emerge from time to time. You should not rely upon forward-looking statements as predictions of future events. Our forward-looking statements do not reflect the potential impact of any future acquisitions, mergers, dispositions, joint ventures or investments that we may make. Except as required by law, we assume no obligation to update or revise these forward-looking statements for any reason, even if new information becomes available in the future. In that respect, we wish to caution readers not to place undue reliance on any such forward-looking statements, which speak only as of the date they are made. You should read this prospectus, the documents that we reference herein and the documents that we have filed as exhibits to the registration statement of which this prospectus is a part completely and with the understanding that our actual future results may be materially different from what we expect.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herein also contain estimates and other information concerning our industry and the markets for certain diseases, including data regarding the estimated size of those markets, and the incidence and prevalence of certain medical conditions. Unless otherwise expressly stated, we obtained this industry,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25455_7"/>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applicable prospectus supplement, we intend to use the net proceeds from the sale of the securities offered by this prospectus for general corporate purposes, which may include, but is not limited to, working capital, capital expenditures, commercialization and distribution expenditures, manufacturing expenditures, research and development expenditures, regulatory affairs expenditures, clinical trial expenditures, acquisitions of new technologies and investments, and the repayment, refinancing, redemption or repurchase of indebtedness or capital stock. Additional information on the use of net proceeds from the sale of securities offered by this prospectus may be set forth in the prospectus supplement relating to that offering. We will not receive any of the proceeds from the sale of Class A common stock being offered by any of the selling securityholders.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25455_8"/>
      <w:bookmarkEnd w:id="22"/>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the material terms of our securities is not intended to be a complete summary of the rights and preferences of such securities. We urge you to read our certificate of incorporation in its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issuance of 421,000,000 shares of capital stock, consisting of (i) 420,000,000 shares of common stock, including 400,000,000 shares of Class A common stock, par value $0.0001 per share and 20,000,000 shares of Class B common stock, par value $0.0001 per share and (ii) 1,000,000 shares of preferred stock, par value $0.0001 per share. As of August 1, 2024, there were 132,575,002 shares of Class A common stock outstanding, no shares of Class B common stock were outstanding and no shares of preferred stock were outstanding. The outstanding shares of our Class A common stock are duly authorized,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the holders of Class A common stock possess all voting power for the election of our directors and all other matters requiring stockholder action and will at all times vote together as one class on all matters submitted to a vote of the stockholders. Holders of our Class A common stock are entitled to one vote per share on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the voluntary or involuntary liquidation, dissolution, or winding-up of the Company, holders of Class A common stock will be entitled to receive an equal amount per share of all of our assets of whatever kind available for distribution to stockholders, after the rights of our creditors have been satisfied.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have no preemptive or other subscription rights and there will be no sinking fund or redemption provisions applicable to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the board of directors consists of a single class, with all directors serving until our next annual meeting. There is no cumulative voting with respect to the election of directors, with the result that directors will be elected by a majority of the votes cast at an annual meeting of stockholders by holders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issue preferred stock in one or more series and to fix and designate the powers, designations, preferences and relative, participating, optional or other special rights of each class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or series thereof and the qualifications, limitations or restrictions, if any, of such preferred stock. Our board of directors may fix the number of shares constituting any series of preferred stock and the designations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We will fix the powers, designations, preferences, rights, qualifications, limitations, restrictions and other terms of the preferred stock of each series by filing a certificate of designations relating to each series. When preferred stock is offered, a prospectus supplement, information incorporated by reference or a free writing prospectus, as applicable, will explain the terms of any preferred stock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in the series and the distinctive 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on which dividends will be paid,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on which the shares may be redeemed,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retirement or sinking fund for the purchase or redemption of the shares of the series, including any restrictions on repurchase or redemption during any arrearage in the payment of dividends or sinking fund installments;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on which the shares of the series will be convertible into, or exchangeable for, shares of any other class or classes of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the shares of the series (provided that different series of preferred stock shall not be construed to constitute different classes of shares for the purposes of voting by classes unless so provided by our certificate of incorporation or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rights of the holders of shares of the series may be modified otherwise than by a vote of a majority of the shares outstanding, voting as a class, and if so, under what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restrictions,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 all other preferences and relative, participating, optional or other special rights or qualifications, limitations or restrictions of the shares, to the extent now or hereafter permitted by the General Corporation Law of Delaware.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file as an exhibit to the registration statement of which this prospectus is a part, or will incorporate by reference from another report that we file with the SEC, the certificate of designations that describes the terms of any series of preferred stock we offer under this prospectus before the issuance of shares of that series of preferred stock. You should read any prospectus supplement, information incorporated by reference and any free writing prospectus that we may authorize to be provided to you related to the series of preferred stock being offered, as well as the certificate of designations that contains the terms of the applicable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As of August 1, 2024, options to purchase 11,688,416 shares of our Class A common stock were outstanding under our equity compensation plans, at a weighted average exercise price of $4.40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not paid any cash dividends on our Class A common stock to date. The payment of cash dividends in the future will be dependent upon the Company’s revenues and earnings, if any, capital requirements and general financial condition. The payment of any cash dividends will be within the discretion of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at such time. In addition, the Company is not currently contemplating and does not anticipate declaring any stock dividends in the foreseeable future. Further, the credit agreement governing our credit facility imposes significant operating and financial restrictions and limit our ability to declare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of Delaware Law, the Company’s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We are a corporation incorporated under the laws of the State of Delaware, and are subject to the provisions of Section 203 of the DGCL, which we refer to as “Section 203,” regulating corporate takeovers. </w:t>
      </w:r>
    </w:p>
    <w:p>
      <w:pPr>
        <w:pStyle w:val="TextBody"/>
        <w:bidi w:val="0"/>
        <w:spacing w:before="240" w:after="0"/>
        <w:jc w:val="left"/>
        <w:rPr>
          <w:rFonts w:ascii="Times New Roman" w:hAnsi="Times New Roman"/>
          <w:sz w:val="20"/>
        </w:rPr>
      </w:pPr>
      <w:r>
        <w:rPr>
          <w:rFonts w:ascii="Times New Roman" w:hAnsi="Times New Roman"/>
          <w:sz w:val="20"/>
        </w:rPr>
        <w:t xml:space="preserve">Section 203 prevents certain Delaware corporations, under certain circumstances, from engaging in a “business combination”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 who owns fifteen percent (15%) or more of our outstanding voting stock (otherwise known as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of an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associate of an interested stockholder, for three years following the date that the stockholder became an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“business combination” includes a merger or sale of more than ten percent (10%) of our assets. However, the above provisions of Section 203 do not apply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approves the transaction that made the stockholder an “interested stockholder,” prior to the date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completion of the transaction that resulted in the stockholder becoming an interested stockholder, that stockholder owned at least eighty-five percent (85%) of our voting stock outstanding at the time the transaction commenced, other than statutorily excluded shares of Class A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the date of the transaction, the business combination is approved by our board of directors and authorized at a meeting of our stockholders by an affirmative vote of at least two-thirds of the outstanding voting stock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certificate of incorporation does not provide for cumulative voting in the election of directors. Our board of directors is empowered to elect a director to fill a vacancy created by the expansion of the board of directors or the resignation, death, or removal of a director in certain circumstances; and our advance notice provisions require that stockholders must comply with certain procedures in order to nominate candidates to our board of directors or to propose matters to be acted upon at a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of the Business Combination, the Company, Avista Acquisition Corp. and certain of the Company’s stockholders entered into the Amended and Restated Registration Rights Agreement. These stockholders party to the Amended and Restated Registration Rights Agreement and their permitted transferees are entitled to certain registration rights described therein. Among other things, pursuant to the Amended and Restated Registration Rights Agreement, these stockholders are entitled to participate in three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registrations, and will also have certain “piggyback” registration rights with respect to registration statements, subject to cut-back provisions. We will bear the expenses incurred in connection with the filing of any such registration statements, other than certain underwriting discounts, selling commissions and expenses related to the sale of shares. We filed a re-sale registration on Form S-3 pursuant to the terms of the Amended and Restated Registration Rights Agreement on December 24, 2018 that was declared effective by the SEC on February 12, 2019.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Warrant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Class A common stock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the Nasdaq Capital Market under the symbol “ORGO.”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25455_9"/>
      <w:bookmarkEnd w:id="23"/>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we include in any applicable prospectus supplement, information incorporated by reference or free writing prospectus, summarizes certain general terms and provisions of the debt securities that we may offer under this prospectus. When we offer any particular series of debt securities, a prospectus supplement, information incorporated by reference or any free writing prospectus, as applicable, will explain the terms of those debt securities, which may differ from and will modify or replace the terms described below. We urge you to read the applicable prospectus supplement, information incorporated by reference and any related free writing prospectus, as they will indicate the general terms and provisions that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prospectus supplement, information incorporated or free writing prospectus by reference,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We have summarized select portions of the indenture below. The summary is not complete. The form of the indenture has been filed as an exhibit to the registration statement of which this prospectus is a part, and you should read the indenture for provisions that may be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information incorporated or free writing prospectus by reference relating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and those securities may be in one or more series with the same or various maturities, at par, at a premium, or at a discount. With respect to any series of debt securities we offer, we will set forth in a prospectus supplement, information incorporated by reference or free writing prospectus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title and ranking of the debt securities (including the terms of any subordination provisions);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price or prices (expressed as a percentage of the principal amount) at which we will sell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limit on the aggregate principal amount of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date or dates on which the principal of the securities of the series is payable;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period or periods within which, the price or prices at which and the terms and conditions upon which we may redeem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obligation we may have to redeem or purchase the debt securities pursuant to any sinking fund or analogous provisions or at the option of a holder or holders of debt securities and the period or periods within which, the price or prices at which and the terms and conditions upon which securities of the series shall be redeemed or purchased, in whole or in part, pursuant to such obligation;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denominations in which the debt securities will be issued, if other than denominations of $1,000 and any integral multiple thereof;</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whether the debt securities will be issued in the form of certificates issued in definitive form or as one or more global securities representing the entire issuance, as described under “Forms of Securities,” below;</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portion of the principal amount of the debt securities payable upon declaration of acceleration of the maturity date, if other than the principal amount;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designation of the currency, currencies or currency units in which payment of principal of, premium (if any) and interest on the debt securities will be made;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(if any)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manner in which the amounts of payment of principal of, premium (if any)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provisions relating to any security provided for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addition to, deletion of or change in the Events of Default (as defined below)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addition to, deletion of or change in the covenants described in this prospectus or in the indenture with respect to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depositaries, interest rate calculation agents, exchange rate calculation agents or other agents with respect to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if any, relating to conversion or exchange of any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 federal income tax consequences related to the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subsidiaries will guarantee the debt securities,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regarding any special considerations applicable to any of these debt securities in the applicable prospectus supplement, information incorporated by reference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information incorporated by reference or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may be represented by either a certificate issued in definitive form to a particular purchaser or by one or more global securities representing the entire issuance of debt securities, as described below under “Forms of Securities” and in Section 2.14 of the form of indenture. </w:t>
      </w:r>
    </w:p>
    <w:p>
      <w:pPr>
        <w:pStyle w:val="TextBody"/>
        <w:bidi w:val="0"/>
        <w:spacing w:before="240" w:after="0"/>
        <w:jc w:val="left"/>
        <w:rPr>
          <w:rFonts w:ascii="Times New Roman" w:hAnsi="Times New Roman"/>
          <w:sz w:val="20"/>
        </w:rPr>
      </w:pPr>
      <w:r>
        <w:rPr>
          <w:rFonts w:ascii="Times New Roman" w:hAnsi="Times New Roman"/>
          <w:sz w:val="20"/>
        </w:rPr>
        <w:t xml:space="preserve">If we issue certificated debt securities, you may transfer or exchange such certificates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You may effect the transfer of certificated debt securities and the right to receive the principal of, and premium (if any) and interest on, certificated debt securities only by surrendering the certificate representing those certificated debt securities and either the reissuance by us or the trustee of the certificate to the new holder or the issuance by us or the trustee of a new certificate to the new holder.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 prospectus supplement, information incorporated by reference or free writing prospectus, the provisions described in this paragraph will apply to the debt securities. Payment of interest on a debt security on any interest payment date will be made to the person in whose name the debt security is registered at the close of business on the record date for the applicable payment. Payment on debt securities of a particular series will be payable at the office of a paying agent or paying agents designated by us. However, at our option, we may pay interest by mailing a check to the record holder. The trustee will be designated as our initial paying agent. </w:t>
      </w:r>
    </w:p>
    <w:p>
      <w:pPr>
        <w:pStyle w:val="TextBody"/>
        <w:bidi w:val="0"/>
        <w:spacing w:before="240" w:after="0"/>
        <w:jc w:val="left"/>
        <w:rPr>
          <w:rFonts w:ascii="Times New Roman" w:hAnsi="Times New Roman"/>
          <w:sz w:val="20"/>
        </w:rPr>
      </w:pPr>
      <w:r>
        <w:rPr>
          <w:rFonts w:ascii="Times New Roman" w:hAnsi="Times New Roman"/>
          <w:sz w:val="20"/>
        </w:rPr>
        <w:t xml:space="preserve">We may also add, replace or terminate paying agents from time to time, or change the office of any paying agent, as set forth in a prospectus supplement, information incorporated by reference or free writing prospectus. However, we will be required to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moneys paid by us to a paying agent for payment on any debt security that remain unclaimed for a period of two years after such payment was due will be repaid to us. Thereafter, the holder may look only to us for such payment.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information incorporated by reference or free writing prospectus any restrictive covenants applicable to any issue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information incorporated by reference or free writing prospectus,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we are the surviving corporation or the successor person is a corporation organized and validly existing under the laws of any U.S. domestic jurisdiction and expressly assumes our obligations on any debt securities and under the related indenture;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and assets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i/>
          <w:sz w:val="20"/>
        </w:rPr>
        <w:t>Event of Default”</w:t>
      </w:r>
      <w:r>
        <w:rPr>
          <w:rFonts w:ascii="Times New Roman" w:hAnsi="Times New Roman"/>
          <w:sz w:val="20"/>
        </w:rPr>
        <w:t xml:space="preserve">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default in the payment of principal of any security of that series at its maturity;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certain voluntary or involuntary events of bankruptcy, insolvency or reorganization of our company;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information incorporated by reference or free writing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information incorporated by reference or free writing prospectus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will be under no obligation to exercise any of its rights or powers under the indenture unless the trustee receives indemnity satisfactory to it against any cost, liability or expense which might be incurred by it in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that holder has previously given to the trustee written notice of a continuing Event of Default with respect to debt securities of that series;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reasonable indemnity or security,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and amend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cure any ambiguity, defect or inconsistency;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covenants in the indenture as described above under “Description of the Debt Securities—Consolidation, Merger and Sale of Assets;”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uncertificated securities in addition to or in place of certificated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add guarantees with respect to debt securities of any series or secure debt securities of any series;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surrender any of our rights or powers under the indenture;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add covenants or events of default for the benefit of the holders of debt securities of any series;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comply with the applicable procedures of the applicable depositary;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provide for the issuance of and establish the form and terms and conditions of debt securities of any series as permitted by the indenture;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effect the appointment of a successor trustee with respect to the debt securities of any series and to add to or change any of the provisions of the indenture to provide for or facilitate administration by more than one trustee;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reduce the amount of debt securities whose holders must consent to an amendment, supplement or waiver;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reduce the rate of or extend the time for payment of interest (including default interest) on any debt security;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reduce the principal of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reduce the principal amount of discount securities payable upon acceleration of maturity;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waive a default in the payment of the principal of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make the principal of or interest on any debt security payable in currency other than that stated in the debt security;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make any change to certain provisions of the indenture relating to, among other things, the right of holders of debt securities to receive payment of the principal of and interest on those debt securities and to institute suit for the enforcement of any such payment and to waivers or amendments; 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of Indenture; 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The indenture provides that we may be discharged from our obligations under the indenture with respect to a series of debt securities (subject to certain exceptions) when, among other things, all of the debt securities of that series have been delivered to the trustee for cancellation and we have paid or caused to be paid all other sums payable under the indenture with respect to such debt securities, or, alternatively, when the following conditions (among others)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all of the debt securities of that series that have not been delivered for cancellation have become due and payable, or will become due and payable within one year, or have been called for redemption or are to be called for redemption within one year under arrangements satisfactory to the trustee;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we have deposited with the trustee, in trust, funds in an amount sufficient to pay and discharge each installment of principal (including mandatory sinking fund or analogous payments) of and interest on all the securities of such series on the dates such installments of principal or interest are due;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under the indenture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we may omit to comply with the covenant described above under “Description of the Debt Securities—Consolidation, Merger and Sale of Assets” and certain other covenants set forth in the indenture, as well as any additional covenants which may be set forth in the applicable prospectus supplement, information incorporated by reference or free writing prospectus;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a covenant defeasance.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(including any mandatory sinking fund or analogous payments) of and interest on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 and in the same manner and at the same times as would have been the case if the deposit and related covenant defeasance had not occurred. </w:t>
            </w:r>
          </w:p>
        </w:tc>
      </w:tr>
    </w:tbl>
    <w:p>
      <w:pPr>
        <w:pStyle w:val="TextBody"/>
        <w:bidi w:val="0"/>
        <w:spacing w:before="240" w:after="0"/>
        <w:jc w:val="left"/>
        <w:rPr>
          <w:rFonts w:ascii="Times New Roman" w:hAnsi="Times New Roman"/>
          <w:sz w:val="20"/>
        </w:rPr>
      </w:pPr>
      <w:r>
        <w:rPr>
          <w:rFonts w:ascii="Times New Roman" w:hAnsi="Times New Roman"/>
          <w:i/>
          <w:sz w:val="20"/>
        </w:rPr>
        <w:t>Covenant Defeasance and Events of Default.</w:t>
      </w:r>
      <w:r>
        <w:rPr>
          <w:rFonts w:ascii="Times New Roman" w:hAnsi="Times New Roman"/>
          <w:sz w:val="20"/>
        </w:rPr>
        <w:t xml:space="preserve"> 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may not be sufficient to pay amounts due on the debt securities of that series at the time of the acceleration resulting from the Event of Default. However, we shall remain liable for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without regard to conflict of law principles that would result in the application of any law other than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25455_10"/>
      <w:bookmarkEnd w:id="24"/>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Class A common stock, preferred stock, debt securities or any combination of the foregoing, either individually or as units comprised of two or more other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Any warrant agent will act solely as our agent in connection with the warrants of such series and will not assume any obligation or relationship of agency for or with holders or beneficial owners of warrants. We may also add, replace, or terminate warrant agents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warrants and warrant agreements is subject to, and qualified in its entirety by reference to, all the provisions of the warrant agreement and warrant certificate applicable to a particular series of warrants. When warrants are offered, a prospectus supplement, information incorporated by reference or a free writing prospectus, as applicable, will explain the terms of any warrants offered, which may differ from and will modify or replace the terms described below. We urge you to read the applicable prospectus supplement, information incorporated by reference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information incorporated by reference or free writing prospectus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number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warrants will be issued and may be exercised, including provisions for the exercise of the warrants without payment of cash,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Class A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number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units purchasable upon exercise of warrants to purchase units, the securities comprising such units and their terms, and the exercise price for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in the number, type or amount of securities purchasable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registered or bearer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registered warrants will be issued in the form of a certificate issued in definitive form or as one or more global securities representing the entire issuance of warrants, as described under “Forms of Securities,”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underlying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Class A common stock or preferred stock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or other distributions (including upon any liquidation, dissolution or winding up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exercisable for debt securities will not have any of the rights of holders of the debt securities purchasable upon such exercise and will therefore not be entitled to payments of principal (or premium, if any) or interest, if any, and may not enforce covenants in any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Class A common stock or units at the exercise price set forth in, or calculable as set forth in, the applicable prospectus supplement, information incorporated by reference or free writing prospectus. Unless we otherwise specify in the applicable prospectus supplement, information incorporated by reference or free writing prospectus, holders of the warrants may exercise the warrants at any time up to the specified time on the expiration date that we set forth in the applicable prospectus supplement, information incorporated by reference or free writing prospectus. After such specified time on the expiration date, unexercised warrants will become void. Warrants may be redeemed as set forth in the applicable prospectus supplement, information incorporated by reference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warrants represented by a warrant certificate are exercised, a new warrant certificate will be issued for the remaining warrants.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25455_11"/>
      <w:bookmarkEnd w:id="25"/>
      <w:r>
        <w:rPr>
          <w:rFonts w:ascii="Times New Roman" w:hAnsi="Times New Roman"/>
          <w:b/>
          <w:sz w:val="20"/>
        </w:rPr>
        <w:t>DESCRIPTION OF UNITS</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our Class A common stock, preferred stock, debt securities, and/or warrants to purchase any of these securities in one or more series. We may evidence each series of units by unit certificates that we will issue under a separate agreement.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unit agreements with a unit agent. We will indicate the name and address of the unit agent in the applicable prospectus supplement relating to a particular series of units, information incorporated by reference or a related free writing prospectus. Each unit agent will act solely as our agent in connection with the certificates relating to the units and will not assume any obligation or relationship of agency or trust with any holders of unit certificates or beneficial owners of units. We may also add, replace, or terminate unit agents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information incorporated by reference or free writing prospectus, summarizes the general features of the units that we may offer under this prospectus. When units are offered, a prospectus supplement, information incorporated by reference or a free writing prospectus, as applicable, will explain the terms of any units offered, which may differ from and will modify or replace the terms described below. We urge you to read the applicable prospectus supplement, information incorporated by reference and any related free writing prospectus,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units will be described in the prospectus supplement, information incorporated by reference or free writing prospectus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the securities composing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units will be issued in the form of a certificate issued in definitive form or as one or more global securities representing the entire issuance of units, as described under “Forms of Securities,”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25455_12"/>
      <w:bookmarkEnd w:id="26"/>
      <w:r>
        <w:rPr>
          <w:rFonts w:ascii="Times New Roman" w:hAnsi="Times New Roman"/>
          <w:b/>
          <w:sz w:val="20"/>
        </w:rPr>
        <w:t xml:space="preserve">FORMS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warrant, and unit will be represented either by a certificate issued in definitive form to a particular purchaser or by one or more global securities representing the entire issuance of securities. Unless the applicable prospectus supplement, information incorporated by reference or free writing prospectus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purchaser’s beneficial ownership of the securities through an account maintained by the purchaser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registered debt securities, warrants or units in the form of one or more fully registered global securities, bearing all applicable legends, to be deposited with and registered in the name of a depositary or its nominee identified in the applicable prospectus supplement, information incorporated by reference or free writing prospectus.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certificated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information incorporated by reference or free writing prospectus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global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such purchasers’ global abilities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These procedures may change from time to time.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on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the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securities represented by a registered global security is at any time unwilling or unable to continue as depositary or ceases to be qualified to serve as a depositary, and a qualified successor depositary is not appointed by us within 90 days, we will issue certificated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or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25455_13"/>
      <w:bookmarkEnd w:id="27"/>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possible resale by certain of our shareholders, who we refer to in this prospectus as the “selling securityholders,” of up to 50,000,000 shares of our Class A common stock that were issued and outstanding, or that are issuable upon exercise of options to acquire Class A common stock or upon vesting and settlement of restricted stock units issued under our 2018 Equity Incentive Plan (the “2018 Plan”), in each case, that were issued and outstanding, prior to the original date of filing of the registration statement of which this prospectus forms a part. The selling securityholders acquired the shares of our Class A common stock included in this prospectus in connection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of the Business Combination on December 10,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of a private placement concurrent with the closing of the Business Combination on December 10,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gifts on December 28, 2021, December 15, 2021 and December 29,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open market purchases on November 21, 2022, November 18, 2022, August 12, 2022, May 16, 2022, December 13, 2021, December 3, 2021, December 2, 2021, November 29, 2021, November 26, 2021, November 18, 2021, November 17, 2021, November 15, 2021, November 12, 2021, August 17, 2021, September 13, 2019, September 6, 2019, September 5, 2019, September 4, 2019 and September 3,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 rata distribution for no consideration by a stockholder of the Company to its members on May 6,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of a public offering on November 17,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options to acquire shares of our Class A common stock that were issued and outstanding under the 2018 Plan prior to the original date of filing of the registration statement of which this prospectus forms a part;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vesting and settlement of restricted stock units that were issued and outstanding under the 2018 Plan prior to the original date of filing of the registration statement of which this prospectus forms a part.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about the selling securityholders, where applicable, including their identities, the amount of shares of Class A common stock owned by each selling securityholder prior to the offering, the number of shares of our Class A common stock to be offered by each selling securityholder and the amount of common stock to be owned by each selling securityholder after completion of the offering, will be set forth in an applicable prospectus supplement, documents incorporated by reference or in a free writing prospectus we file with the SEC. The applicable prospectus supplement will also disclose whether any of the selling securityholders has held any position or office with, has been employed by or otherwise has had a material relationship with us during the three years prior to the date of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not sell any shares of our Class A common stock pursuant to this prospectus until we have identified such selling securityholders and the shares being offered for resale by such selling securityholders in a subsequent prospectus supplement. However, the selling securityholders may sell or transfer all or a portion of their shares of our Class A common stock pursuant to any available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25455_14"/>
      <w:bookmarkEnd w:id="28"/>
      <w:r>
        <w:rPr>
          <w:rFonts w:ascii="Times New Roman" w:hAnsi="Times New Roman"/>
          <w:b/>
          <w:sz w:val="20"/>
        </w:rPr>
        <w:t>PLAN OF DISTRIBUTION</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any combination of the securities and/or the selling securityholders may offer and sell shares of our Class A common stock from time to time, in one or more transactions, through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Nasdaq Capital Market or any other national securities exchange or U.S. inter-dealer system of a registered national securities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combination of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distribution of the securities offered by this prospectus may also be effected through the issuance of derivative securities, including, without limitation, warrants, exchangeable securities, forward delivery contracts and the writing of options.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offer and sell any combination of the securities or the selling securityholders may offer and sell shares of our Class A common stock from time to time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block trade in which a broker-dealer will attempt to sell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Nasdaq Capital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 to employees, members, limited partners or securityholders of a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 solicits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secured debt and other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any selling securityholders may also enter into hedging transactions. For example, we and/or any selling securityholders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 broker-dealer or affiliate thereof in connection with which such broker-dealer or affiliate will engage in short sales of securities pursuant to this prospectus, in which case such broker-dealer or affiliate may use our and/or the selling securityholders’ Class A common stock received from us and/or the selling securityholders to close out its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securities short and redeliver such securities to close out our and/or the selling securityholders’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option or other types of transactions that require us and/or the selling securityholders to deliver our and/or the selling securityholders’ Class A common stock to a broker-dealer or an affiliate thereof, who will then resell or transfer our and/or the selling securityholders’ Class A common stock under this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 or pledge our and/or the selling securityholders’ Class A common stock to a broker-dealer or an affiliate thereof, who may sell the loaned shares or, in an event of default in the case of a pledge, sell the pledged shares pursuant to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relating to a particular offering of any securities may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net proceeds to us and/or the selling securityholders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paid to dealers or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 under which underwriters may purchase additional shares of our Class A common stock from us and/or any selling securityholder.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any securities may be effected from time to time in one or more transactions at a fixed price or prices, which may be changed, at market prices prevailing at the time of sale, at prices related to prevailing market prices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Each time that we and/or any of the selling securityholders sell securities covered by this prospectus, we and/or the selling securityholders will provide a prospectus supplement or supplements that will describe the method of distribution and set forth the terms and conditions of the offering of such securities, including the offering price of the securities and the proceeds to us and/or the selling securityholders,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and/or the selling securityholders,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Various of the underwriters who participate in the distribution of any securities, and their affiliates, may perform various commercial banking and investment banking services for us from time to time in the ordinary course of business. Unless otherwise indicated in a prospectus supplement, an agent will be acting on a best-efforts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securityholders may authorize underwriters or other persons as agents to solicit offers by institutions to purchase any securities from us and/or the selling securityholders pursuant to contracts providing for payment and delivery on a future date. These institutions may include commercial and savings banks, insurance companies, pension funds, investment companies, educational and charitable institutions and others, but in all cases we must approve these institutions. The obligations of any purchaser under any of these contracts will be subject to the condition that the purchase of any securities will not at the time of delivery be prohibited under the laws of the jurisdiction to which such purchaser is subject. The underwriters and other agents will not have any responsibility in respect of the validity or performance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offerings made through underwriters or agents, we and/or the selling securityholders may enter into agreements with such underwriters or agents pursuant to which we receive our and/or the selling securityholders’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may use this prospectus in connection with resales of our Class A common stock. Such selling securityholders may be deemed to be underwriters under the Securities Act in connection with the shares of our Class A common stock they resell and any profits on the sales may be deemed to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until the distribution of any securities is completed, rules of the SEC may limit the ability of any underwriters to bid for and purchase the securities. As an exception to these rules, representatives of any underwriters are permitted to engage in transactions that stabilize the price of the securities. These transactions may consist of bids or purchases for the purpose of pegging, fixing or maintaining the price of the securities. If the underwriters create a short position in the securities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(that is, if they sell more securities than are set forth on the cover page of the prospectus supplement) the representatives of the underwriters may reduce that short position by purchasing the securities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We make no representation or prediction as to the direction or magnitude of any effect that the transactions described above may have on the price of the securities. In addition, we make no representation that the representatives of any underwriters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Any Class A common stock will be listed on the Nasdaq Capital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 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and/or the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and/or the selling securityholders or borrowed from us and/or the selling securityholders or others to settle those sales or to close out any related open borrowings of stock, and may use securities received from us and/or the selling securityholders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and/or the selling securityholders may otherwise loan or pledge securities to a financial institution or other third party that in turn may sell the loaned securities or, in an event of default in the case of a pledge, sell the pledged securities pursuant to this prospectus and the applicable prospectus supplement or pricing supplement, as the case may be.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maximum discount, commission or agency fees or other items constituting underwriting compensation to be received by any member of the Financial Industry Regulatory Authority, or FINRA, or independent broker-dealer in connection with any offering pursuant to this prospectus and any applicable prospectus, as the case may be, will be in compliance with the guidelines of the FINRA.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25455_15"/>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securities offered hereby will be passed upon for us by Foley Hoag LLP of Boston, Massachusetts. If the validity of any securities is also passed upon by counsel for any underwriters, dealers or agents, that counsel will be named in the prospectus supplement relating to that specific offering. </w:t>
      </w:r>
    </w:p>
    <w:p>
      <w:pPr>
        <w:pStyle w:val="TextBody"/>
        <w:bidi w:val="0"/>
        <w:spacing w:before="480" w:after="0"/>
        <w:jc w:val="center"/>
        <w:rPr>
          <w:rFonts w:ascii="Times New Roman" w:hAnsi="Times New Roman"/>
          <w:b/>
          <w:sz w:val="20"/>
        </w:rPr>
      </w:pPr>
      <w:bookmarkStart w:id="30" w:name="tx125455_16"/>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Organogenesis Holdings Inc. as of December 31, 2023 and 2022 and for each of the years in the three-year period ended December 31, 2023 and the effectiveness of internal control over financial reporting as of December 31, 2023 incorporated in this Prospectus by reference from the Organogenesis Holdings Inc. Annual Report on Form 10-K for the year ended December 31, 2023 have been audited by RSM US LLP, an independent registered public accounting firm, as stated in their reports thereon, incorporated herein by reference, and have been incorporated in this Prospectus and Registration Statement in reliance upon such reports and upon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report of RSM US LLP dated February 29, 2024, on the effectiveness of internal control over financial reporting as of December 31, 2023, expressed an opinion that Organogenesis Holdings Inc. had not maintained effective internal control over financial reporting as of December 31, 2023, based on criteria established in </w:t>
      </w:r>
      <w:r>
        <w:rPr>
          <w:rFonts w:ascii="Times New Roman" w:hAnsi="Times New Roman"/>
          <w:i/>
          <w:sz w:val="20"/>
        </w:rPr>
        <w:t>Internal Control — Integrated Framework</w:t>
      </w:r>
      <w:r>
        <w:rPr>
          <w:rFonts w:ascii="Times New Roman" w:hAnsi="Times New Roman"/>
          <w:sz w:val="20"/>
        </w:rPr>
        <w:t xml:space="preserve"> issued by the Committee of Sponsoring Organizations of the Treadway Commission in 2013.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95980" cy="3549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3395980" cy="35496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 xml:space="preserve">Up to $75,000,000 </w:t>
      </w:r>
    </w:p>
    <w:p>
      <w:pPr>
        <w:pStyle w:val="TextBody"/>
        <w:bidi w:val="0"/>
        <w:spacing w:before="48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32"/>
        </w:rPr>
      </w:pPr>
      <w:r>
        <w:rPr>
          <w:rFonts w:ascii="Times New Roman" w:hAnsi="Times New Roman"/>
          <w:b/>
          <w:sz w:val="32"/>
        </w:rPr>
        <w:t xml:space="preserve">BTIG </w:t>
      </w:r>
    </w:p>
    <w:p>
      <w:pPr>
        <w:pStyle w:val="TextBody"/>
        <w:bidi w:val="0"/>
        <w:spacing w:before="120" w:after="0"/>
        <w:jc w:val="center"/>
        <w:rPr>
          <w:rFonts w:ascii="Times New Roman" w:hAnsi="Times New Roman"/>
          <w:b/>
          <w:sz w:val="32"/>
        </w:rPr>
      </w:pPr>
      <w:r>
        <w:rPr>
          <w:rFonts w:ascii="Times New Roman" w:hAnsi="Times New Roman"/>
          <w:b/>
          <w:sz w:val="32"/>
        </w:rPr>
        <w:t xml:space="preserve">Citizens Capital Markets </w:t>
      </w:r>
    </w:p>
    <w:p>
      <w:pPr>
        <w:pStyle w:val="TextBody"/>
        <w:bidi w:val="0"/>
        <w:spacing w:before="2400" w:after="0"/>
        <w:jc w:val="center"/>
        <w:rPr>
          <w:rFonts w:ascii="Times New Roman" w:hAnsi="Times New Roman"/>
          <w:b/>
          <w:sz w:val="20"/>
        </w:rPr>
      </w:pPr>
      <w:r>
        <w:rPr>
          <w:rFonts w:ascii="Times New Roman" w:hAnsi="Times New Roman"/>
          <w:b/>
          <w:sz w:val="20"/>
        </w:rPr>
        <w:t xml:space="preserve">August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61181/000119312526076730/orgo-20251231.htm" TargetMode="External"/><Relationship Id="rId4" Type="http://schemas.openxmlformats.org/officeDocument/2006/relationships/hyperlink" Target="http://www.sec.gov/Archives/edgar/data/../../../ix?doc=/Archives/edgar/data/0001661181/000119312526197357/d90892ddef14a.htm" TargetMode="External"/><Relationship Id="rId5" Type="http://schemas.openxmlformats.org/officeDocument/2006/relationships/hyperlink" Target="http://www.sec.gov/Archives/edgar/data/../../../ix?doc=/Archives/edgar/data/0001661181/000166118126000008/orgo-20260331.htm" TargetMode="External"/><Relationship Id="rId6" Type="http://schemas.openxmlformats.org/officeDocument/2006/relationships/hyperlink" Target="http://www.sec.gov/Archives/edgar/data/../../../ix?doc=/Archives/edgar/data/1661181/000119312526338049/orgo-20260630.htm" TargetMode="External"/><Relationship Id="rId7" Type="http://schemas.openxmlformats.org/officeDocument/2006/relationships/hyperlink" Target="http://www.sec.gov/Archives/edgar/data/../../../ix?doc=/Archives/edgar/data/0001661181/000119312526064270/d61237d8k.htm" TargetMode="External"/><Relationship Id="rId8" Type="http://schemas.openxmlformats.org/officeDocument/2006/relationships/hyperlink" Target="http://www.sec.gov/Archives/edgar/data/../../../ix?doc=/Archives/edgar/data/0001661181/000119312526272710/d66140d8k.htm" TargetMode="External"/><Relationship Id="rId9" Type="http://schemas.openxmlformats.org/officeDocument/2006/relationships/hyperlink" Target="http://www.sec.gov/Archives/edgar/data/1661181/000110465916148934/a15-25039_88a12b.htm" TargetMode="External"/><Relationship Id="rId10" Type="http://schemas.openxmlformats.org/officeDocument/2006/relationships/hyperlink" Target="http://www.sec.gov/Archives/edgar/data/1661181/000119312526076730/orgo-ex4_1.htm" TargetMode="External"/><Relationship Id="rId11" Type="http://schemas.openxmlformats.org/officeDocument/2006/relationships/image" Target="media/image2.jpeg"/><Relationship Id="rId12" Type="http://schemas.openxmlformats.org/officeDocument/2006/relationships/hyperlink" Target="http://www.sec.gov/Archives/edgar/data/1661181/000095017024023150/orgo-20231231.htm" TargetMode="External"/><Relationship Id="rId13" Type="http://schemas.openxmlformats.org/officeDocument/2006/relationships/hyperlink" Target="http://www.sec.gov/Archives/edgar/data/1661181/000095017024057050/orgo-20240331.htm" TargetMode="External"/><Relationship Id="rId14" Type="http://schemas.openxmlformats.org/officeDocument/2006/relationships/hyperlink" Target="http://www.sec.gov/Archives/edgar/data/../../../ix?doc=/Archives/edgar/data/0001661181/000095017024094009/orgo-20240630.htm" TargetMode="External"/><Relationship Id="rId15" Type="http://schemas.openxmlformats.org/officeDocument/2006/relationships/hyperlink" Target="http://www.sec.gov/Archives/edgar/data/1661181/000119312524122223/d810061ddef14a.htm" TargetMode="External"/><Relationship Id="rId16" Type="http://schemas.openxmlformats.org/officeDocument/2006/relationships/hyperlink" Target="http://www.sec.gov/Archives/edgar/data/1661181/000119312524086129/d822694d8k.htm" TargetMode="External"/><Relationship Id="rId17" Type="http://schemas.openxmlformats.org/officeDocument/2006/relationships/hyperlink" Target="http://www.sec.gov/Archives/edgar/data/1661181/000119312524165670/d826313d8k.htm" TargetMode="External"/><Relationship Id="rId18" Type="http://schemas.openxmlformats.org/officeDocument/2006/relationships/hyperlink" Target="http://www.sec.gov/Archives/edgar/data/1661181/000119312520067198/d844864dex41.htm" TargetMode="External"/><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24576</Words>
  <Characters>129273</Characters>
  <CharactersWithSpaces>154275</CharactersWithSpaces>
  <Paragraphs>1561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